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32AE0" w14:textId="77777777" w:rsidR="00767DD3" w:rsidRPr="00190020" w:rsidRDefault="00767DD3" w:rsidP="00997683">
      <w:pPr>
        <w:jc w:val="center"/>
        <w:rPr>
          <w:rFonts w:cs="Arial"/>
          <w:b/>
          <w:color w:val="000000" w:themeColor="text1"/>
          <w:sz w:val="23"/>
          <w:szCs w:val="23"/>
          <w:lang w:val="pt-BR"/>
        </w:rPr>
      </w:pPr>
      <w:bookmarkStart w:id="0" w:name="_Hlk143270942"/>
    </w:p>
    <w:p w14:paraId="1EC12819" w14:textId="77777777" w:rsidR="00FB69AC" w:rsidRPr="00FB69AC" w:rsidRDefault="00FB69AC" w:rsidP="00FB69AC">
      <w:pPr>
        <w:jc w:val="center"/>
        <w:rPr>
          <w:rFonts w:cs="Arial"/>
          <w:b/>
          <w:color w:val="000000" w:themeColor="text1"/>
          <w:lang w:val="pt-BR"/>
        </w:rPr>
      </w:pPr>
      <w:r w:rsidRPr="00FB69AC">
        <w:rPr>
          <w:rFonts w:cs="Arial"/>
          <w:b/>
          <w:color w:val="000000" w:themeColor="text1"/>
          <w:lang w:val="pt-BR"/>
        </w:rPr>
        <w:t xml:space="preserve">DETERMINANTES DO ACESSO ÀS POLÍTICAS PÚBLICAS QUE INFLUENCIAM NA ORGANIZAÇÃO DE AGRICULTORES FAMILIARES </w:t>
      </w:r>
    </w:p>
    <w:bookmarkEnd w:id="0"/>
    <w:p w14:paraId="5C3CF5B8" w14:textId="77777777" w:rsidR="00C72100" w:rsidRPr="00190020" w:rsidRDefault="00C72100" w:rsidP="00997683">
      <w:pPr>
        <w:jc w:val="center"/>
        <w:rPr>
          <w:rFonts w:cs="Arial"/>
          <w:b/>
          <w:color w:val="000000" w:themeColor="text1"/>
          <w:lang w:val="pt-BR"/>
        </w:rPr>
      </w:pPr>
    </w:p>
    <w:p w14:paraId="45175152" w14:textId="77777777" w:rsidR="00FB69AC" w:rsidRDefault="00FB69AC" w:rsidP="00FB69AC">
      <w:pPr>
        <w:spacing w:before="120"/>
        <w:jc w:val="center"/>
        <w:rPr>
          <w:rFonts w:cs="Arial"/>
          <w:b/>
          <w:i/>
          <w:lang w:val="en-US"/>
        </w:rPr>
      </w:pPr>
      <w:r>
        <w:rPr>
          <w:rFonts w:cs="Arial"/>
          <w:b/>
          <w:i/>
          <w:lang w:val="en-US"/>
        </w:rPr>
        <w:t>DETERMINANTS OF ACCESS TO PUBLIC POLICIES THAT INFLUENCE THE ORGANIZATION OF FAMILY FARMERS</w:t>
      </w:r>
    </w:p>
    <w:p w14:paraId="07AEBB0B" w14:textId="77777777" w:rsidR="00BD47BC" w:rsidRPr="00152D03" w:rsidRDefault="00BD47BC" w:rsidP="00997683">
      <w:pPr>
        <w:jc w:val="center"/>
        <w:rPr>
          <w:rFonts w:cs="Arial"/>
          <w:b/>
          <w:caps/>
          <w:lang w:val="en-US"/>
        </w:rPr>
      </w:pPr>
    </w:p>
    <w:p w14:paraId="6A371E23" w14:textId="77777777" w:rsidR="004B3AFF" w:rsidRPr="00152D03" w:rsidRDefault="004B3AFF" w:rsidP="00997683">
      <w:pPr>
        <w:rPr>
          <w:rFonts w:cs="Arial"/>
          <w:b/>
          <w:sz w:val="19"/>
          <w:szCs w:val="19"/>
          <w:lang w:val="en-US"/>
        </w:rPr>
      </w:pPr>
    </w:p>
    <w:p w14:paraId="6D26F64D" w14:textId="6E7F69B0" w:rsidR="00754CE4" w:rsidRPr="00190020" w:rsidRDefault="00FB69AC" w:rsidP="00754CE4">
      <w:pPr>
        <w:rPr>
          <w:rFonts w:cs="Arial"/>
          <w:b/>
          <w:sz w:val="19"/>
          <w:szCs w:val="19"/>
          <w:lang w:val="pt-BR"/>
        </w:rPr>
      </w:pPr>
      <w:r>
        <w:rPr>
          <w:rFonts w:cs="Arial"/>
          <w:b/>
          <w:sz w:val="19"/>
          <w:szCs w:val="19"/>
          <w:lang w:val="pt-BR"/>
        </w:rPr>
        <w:t>Ana Carolina Dias Pereira</w:t>
      </w:r>
    </w:p>
    <w:p w14:paraId="0AC3EC3A" w14:textId="4BA071A1" w:rsidR="00754CE4" w:rsidRPr="00190020" w:rsidRDefault="00FB69AC" w:rsidP="00754CE4">
      <w:pPr>
        <w:rPr>
          <w:rFonts w:cs="Arial"/>
          <w:bCs/>
          <w:sz w:val="19"/>
          <w:szCs w:val="19"/>
          <w:lang w:val="pt-BR"/>
        </w:rPr>
      </w:pPr>
      <w:r>
        <w:rPr>
          <w:rFonts w:cs="Arial"/>
          <w:bCs/>
          <w:sz w:val="19"/>
          <w:szCs w:val="19"/>
          <w:lang w:val="pt-BR"/>
        </w:rPr>
        <w:t>Universidade Federal de Viçosa (UFV), Brasil</w:t>
      </w:r>
    </w:p>
    <w:p w14:paraId="73106F35" w14:textId="28E0DB2B" w:rsidR="00C60068" w:rsidRPr="00152D03" w:rsidRDefault="00FB69AC" w:rsidP="00754CE4">
      <w:pPr>
        <w:rPr>
          <w:rFonts w:cs="Arial"/>
          <w:bCs/>
          <w:sz w:val="19"/>
          <w:szCs w:val="19"/>
          <w:lang w:val="es-ES_tradnl"/>
        </w:rPr>
      </w:pPr>
      <w:r w:rsidRPr="00152D03">
        <w:rPr>
          <w:rFonts w:cs="Arial"/>
          <w:bCs/>
          <w:sz w:val="19"/>
          <w:szCs w:val="19"/>
          <w:lang w:val="es-ES_tradnl"/>
        </w:rPr>
        <w:t>ana.pereira5@ufv.br</w:t>
      </w:r>
    </w:p>
    <w:p w14:paraId="497F472C" w14:textId="77777777" w:rsidR="00754CE4" w:rsidRPr="00152D03" w:rsidRDefault="00754CE4" w:rsidP="00754CE4">
      <w:pPr>
        <w:rPr>
          <w:rFonts w:cs="Arial"/>
          <w:bCs/>
          <w:sz w:val="19"/>
          <w:szCs w:val="19"/>
          <w:lang w:val="es-ES_tradnl"/>
        </w:rPr>
      </w:pPr>
    </w:p>
    <w:p w14:paraId="6189274B" w14:textId="2C2A9D18" w:rsidR="00C60068" w:rsidRPr="00152D03" w:rsidRDefault="00FB69AC" w:rsidP="00754CE4">
      <w:pPr>
        <w:rPr>
          <w:rFonts w:cs="Arial"/>
          <w:b/>
          <w:sz w:val="19"/>
          <w:szCs w:val="19"/>
          <w:lang w:val="es-ES_tradnl"/>
        </w:rPr>
      </w:pPr>
      <w:r w:rsidRPr="00152D03">
        <w:rPr>
          <w:rFonts w:cs="Arial"/>
          <w:b/>
          <w:sz w:val="19"/>
          <w:szCs w:val="19"/>
          <w:lang w:val="es-ES_tradnl"/>
        </w:rPr>
        <w:t>Layon Carlos Cezar</w:t>
      </w:r>
      <w:r w:rsidRPr="00152D03">
        <w:rPr>
          <w:rFonts w:cs="Arial"/>
          <w:b/>
          <w:sz w:val="19"/>
          <w:szCs w:val="19"/>
          <w:lang w:val="es-ES_tradnl"/>
        </w:rPr>
        <w:tab/>
      </w:r>
    </w:p>
    <w:p w14:paraId="23949A98" w14:textId="77777777" w:rsidR="00FB69AC" w:rsidRPr="00190020" w:rsidRDefault="00FB69AC" w:rsidP="00FB69AC">
      <w:pPr>
        <w:rPr>
          <w:rFonts w:cs="Arial"/>
          <w:bCs/>
          <w:sz w:val="19"/>
          <w:szCs w:val="19"/>
          <w:lang w:val="pt-BR"/>
        </w:rPr>
      </w:pPr>
      <w:r>
        <w:rPr>
          <w:rFonts w:cs="Arial"/>
          <w:bCs/>
          <w:sz w:val="19"/>
          <w:szCs w:val="19"/>
          <w:lang w:val="pt-BR"/>
        </w:rPr>
        <w:t>Universidade Federal de Viçosa (UFV), Brasil</w:t>
      </w:r>
    </w:p>
    <w:p w14:paraId="1FC10FF7" w14:textId="497C9832" w:rsidR="00754CE4" w:rsidRPr="00190020" w:rsidRDefault="00FB69AC" w:rsidP="00754CE4">
      <w:pPr>
        <w:rPr>
          <w:rFonts w:cs="Arial"/>
          <w:bCs/>
          <w:sz w:val="19"/>
          <w:szCs w:val="19"/>
          <w:lang w:val="pt-BR"/>
        </w:rPr>
      </w:pPr>
      <w:r w:rsidRPr="00FB69AC">
        <w:rPr>
          <w:rFonts w:cs="Arial"/>
          <w:bCs/>
          <w:sz w:val="19"/>
          <w:szCs w:val="19"/>
          <w:lang w:val="pt-BR"/>
        </w:rPr>
        <w:t>layon.cezar@ufv.br</w:t>
      </w:r>
    </w:p>
    <w:p w14:paraId="3169A679" w14:textId="77777777" w:rsidR="00754CE4" w:rsidRPr="00190020" w:rsidRDefault="00754CE4" w:rsidP="00754CE4">
      <w:pPr>
        <w:rPr>
          <w:rFonts w:cs="Arial"/>
          <w:bCs/>
          <w:sz w:val="19"/>
          <w:szCs w:val="19"/>
          <w:lang w:val="pt-BR"/>
        </w:rPr>
      </w:pPr>
    </w:p>
    <w:p w14:paraId="0E3136B0" w14:textId="618C16A7" w:rsidR="003C3035" w:rsidRPr="00527ABE" w:rsidRDefault="00A93187" w:rsidP="003C3035">
      <w:pPr>
        <w:rPr>
          <w:rFonts w:cs="Arial"/>
          <w:sz w:val="19"/>
          <w:szCs w:val="19"/>
          <w:lang w:val="pt-BR"/>
        </w:rPr>
      </w:pPr>
      <w:r w:rsidRPr="00190020">
        <w:rPr>
          <w:rFonts w:cs="Arial"/>
          <w:color w:val="FF0000"/>
          <w:sz w:val="19"/>
          <w:szCs w:val="19"/>
          <w:highlight w:val="yellow"/>
          <w:lang w:val="pt-BR"/>
        </w:rPr>
        <w:br/>
      </w:r>
      <w:r w:rsidR="003C3035" w:rsidRPr="00527ABE">
        <w:rPr>
          <w:rFonts w:cs="Arial"/>
          <w:b/>
          <w:bCs/>
          <w:sz w:val="19"/>
          <w:szCs w:val="19"/>
          <w:lang w:val="pt-BR"/>
        </w:rPr>
        <w:t>Submissão</w:t>
      </w:r>
      <w:r w:rsidR="003C3035" w:rsidRPr="00527ABE">
        <w:rPr>
          <w:rFonts w:cs="Arial"/>
          <w:sz w:val="19"/>
          <w:szCs w:val="19"/>
          <w:lang w:val="pt-BR"/>
        </w:rPr>
        <w:t xml:space="preserve">: </w:t>
      </w:r>
      <w:r w:rsidR="00551E56" w:rsidRPr="00527ABE">
        <w:rPr>
          <w:rFonts w:cs="Arial"/>
          <w:sz w:val="19"/>
          <w:szCs w:val="19"/>
          <w:lang w:val="pt-BR"/>
        </w:rPr>
        <w:t>01.09</w:t>
      </w:r>
      <w:r w:rsidR="00527ABE" w:rsidRPr="00527ABE">
        <w:rPr>
          <w:rFonts w:cs="Arial"/>
          <w:sz w:val="19"/>
          <w:szCs w:val="19"/>
          <w:lang w:val="pt-BR"/>
        </w:rPr>
        <w:t>.</w:t>
      </w:r>
      <w:r w:rsidR="003C3035" w:rsidRPr="00527ABE">
        <w:rPr>
          <w:rFonts w:cs="Arial"/>
          <w:sz w:val="19"/>
          <w:szCs w:val="19"/>
          <w:lang w:val="pt-BR"/>
        </w:rPr>
        <w:t>202</w:t>
      </w:r>
      <w:r w:rsidR="0067372A" w:rsidRPr="00527ABE">
        <w:rPr>
          <w:rFonts w:cs="Arial"/>
          <w:sz w:val="19"/>
          <w:szCs w:val="19"/>
          <w:lang w:val="pt-BR"/>
        </w:rPr>
        <w:t>2</w:t>
      </w:r>
      <w:r w:rsidR="003C3035" w:rsidRPr="00527ABE">
        <w:rPr>
          <w:rFonts w:cs="Arial"/>
          <w:sz w:val="19"/>
          <w:szCs w:val="19"/>
          <w:lang w:val="pt-BR"/>
        </w:rPr>
        <w:t xml:space="preserve">. </w:t>
      </w:r>
      <w:r w:rsidR="003C3035" w:rsidRPr="00527ABE">
        <w:rPr>
          <w:rFonts w:cs="Arial"/>
          <w:b/>
          <w:bCs/>
          <w:sz w:val="19"/>
          <w:szCs w:val="19"/>
          <w:lang w:val="pt-BR"/>
        </w:rPr>
        <w:t>Aprovação</w:t>
      </w:r>
      <w:r w:rsidR="003C3035" w:rsidRPr="00527ABE">
        <w:rPr>
          <w:rFonts w:cs="Arial"/>
          <w:sz w:val="19"/>
          <w:szCs w:val="19"/>
          <w:lang w:val="pt-BR"/>
        </w:rPr>
        <w:t>:</w:t>
      </w:r>
      <w:r w:rsidR="003C3035" w:rsidRPr="00527ABE">
        <w:rPr>
          <w:rFonts w:cs="Arial"/>
          <w:b/>
          <w:bCs/>
          <w:sz w:val="19"/>
          <w:szCs w:val="19"/>
          <w:lang w:val="pt-BR"/>
        </w:rPr>
        <w:t xml:space="preserve"> </w:t>
      </w:r>
      <w:r w:rsidR="00551E56" w:rsidRPr="00527ABE">
        <w:rPr>
          <w:rFonts w:cs="Arial"/>
          <w:sz w:val="19"/>
          <w:szCs w:val="19"/>
          <w:lang w:val="pt-BR"/>
        </w:rPr>
        <w:t>15.08.</w:t>
      </w:r>
      <w:r w:rsidR="003C3035" w:rsidRPr="00527ABE">
        <w:rPr>
          <w:rFonts w:cs="Arial"/>
          <w:sz w:val="19"/>
          <w:szCs w:val="19"/>
          <w:lang w:val="pt-BR"/>
        </w:rPr>
        <w:t>202</w:t>
      </w:r>
      <w:r w:rsidR="0067372A" w:rsidRPr="00527ABE">
        <w:rPr>
          <w:rFonts w:cs="Arial"/>
          <w:sz w:val="19"/>
          <w:szCs w:val="19"/>
          <w:lang w:val="pt-BR"/>
        </w:rPr>
        <w:t>3</w:t>
      </w:r>
      <w:r w:rsidR="003C3035" w:rsidRPr="00527ABE">
        <w:rPr>
          <w:rFonts w:cs="Arial"/>
          <w:sz w:val="19"/>
          <w:szCs w:val="19"/>
          <w:lang w:val="pt-BR"/>
        </w:rPr>
        <w:t xml:space="preserve">. </w:t>
      </w:r>
      <w:r w:rsidR="003C3035" w:rsidRPr="00527ABE">
        <w:rPr>
          <w:rFonts w:cs="Arial"/>
          <w:b/>
          <w:bCs/>
          <w:sz w:val="19"/>
          <w:szCs w:val="19"/>
          <w:lang w:val="pt-BR"/>
        </w:rPr>
        <w:t>Publicação</w:t>
      </w:r>
      <w:r w:rsidR="003C3035" w:rsidRPr="00527ABE">
        <w:rPr>
          <w:rFonts w:cs="Arial"/>
          <w:sz w:val="19"/>
          <w:szCs w:val="19"/>
          <w:lang w:val="pt-BR"/>
        </w:rPr>
        <w:t xml:space="preserve">: </w:t>
      </w:r>
      <w:r w:rsidR="00527ABE" w:rsidRPr="00527ABE">
        <w:rPr>
          <w:rFonts w:cs="Arial"/>
          <w:sz w:val="19"/>
          <w:szCs w:val="19"/>
          <w:lang w:val="pt-BR"/>
        </w:rPr>
        <w:t>26.11</w:t>
      </w:r>
      <w:r w:rsidR="003C3035" w:rsidRPr="00527ABE">
        <w:rPr>
          <w:rFonts w:cs="Arial"/>
          <w:sz w:val="19"/>
          <w:szCs w:val="19"/>
          <w:lang w:val="pt-BR"/>
        </w:rPr>
        <w:t>.202</w:t>
      </w:r>
      <w:r w:rsidR="0067372A" w:rsidRPr="00527ABE">
        <w:rPr>
          <w:rFonts w:cs="Arial"/>
          <w:sz w:val="19"/>
          <w:szCs w:val="19"/>
          <w:lang w:val="pt-BR"/>
        </w:rPr>
        <w:t>3</w:t>
      </w:r>
      <w:r w:rsidR="003C3035" w:rsidRPr="00527ABE">
        <w:rPr>
          <w:rFonts w:cs="Arial"/>
          <w:sz w:val="19"/>
          <w:szCs w:val="19"/>
          <w:lang w:val="pt-BR"/>
        </w:rPr>
        <w:t xml:space="preserve">. </w:t>
      </w:r>
    </w:p>
    <w:p w14:paraId="5B2DFFB8" w14:textId="77777777" w:rsidR="00760023" w:rsidRPr="00527ABE" w:rsidRDefault="003C3035" w:rsidP="003C3035">
      <w:pPr>
        <w:rPr>
          <w:rFonts w:cs="Arial"/>
          <w:sz w:val="19"/>
          <w:szCs w:val="19"/>
          <w:lang w:val="pt-BR"/>
        </w:rPr>
      </w:pPr>
      <w:r w:rsidRPr="00527ABE">
        <w:rPr>
          <w:rFonts w:cs="Arial"/>
          <w:b/>
          <w:bCs/>
          <w:sz w:val="19"/>
          <w:szCs w:val="19"/>
          <w:lang w:val="pt-BR"/>
        </w:rPr>
        <w:t>Sistema de avaliação</w:t>
      </w:r>
      <w:r w:rsidRPr="00527ABE">
        <w:rPr>
          <w:rFonts w:cs="Arial"/>
          <w:sz w:val="19"/>
          <w:szCs w:val="19"/>
          <w:lang w:val="pt-BR"/>
        </w:rPr>
        <w:t xml:space="preserve">: </w:t>
      </w:r>
      <w:r w:rsidRPr="00527ABE">
        <w:rPr>
          <w:rFonts w:cs="Arial"/>
          <w:i/>
          <w:iCs/>
          <w:sz w:val="19"/>
          <w:szCs w:val="19"/>
          <w:lang w:val="pt-BR"/>
        </w:rPr>
        <w:t xml:space="preserve">Double </w:t>
      </w:r>
      <w:proofErr w:type="spellStart"/>
      <w:r w:rsidRPr="00527ABE">
        <w:rPr>
          <w:rFonts w:cs="Arial"/>
          <w:i/>
          <w:iCs/>
          <w:sz w:val="19"/>
          <w:szCs w:val="19"/>
          <w:lang w:val="pt-BR"/>
        </w:rPr>
        <w:t>blind</w:t>
      </w:r>
      <w:proofErr w:type="spellEnd"/>
      <w:r w:rsidRPr="00527ABE">
        <w:rPr>
          <w:rFonts w:cs="Arial"/>
          <w:i/>
          <w:iCs/>
          <w:sz w:val="19"/>
          <w:szCs w:val="19"/>
          <w:lang w:val="pt-BR"/>
        </w:rPr>
        <w:t xml:space="preserve"> review</w:t>
      </w:r>
      <w:r w:rsidRPr="00527ABE">
        <w:rPr>
          <w:rFonts w:cs="Arial"/>
          <w:sz w:val="19"/>
          <w:szCs w:val="19"/>
          <w:lang w:val="pt-BR"/>
        </w:rPr>
        <w:t xml:space="preserve">. </w:t>
      </w:r>
      <w:r w:rsidRPr="00527ABE">
        <w:rPr>
          <w:rFonts w:cs="Arial"/>
          <w:b/>
          <w:sz w:val="19"/>
          <w:szCs w:val="19"/>
          <w:lang w:val="pt-BR"/>
        </w:rPr>
        <w:t>Centro Universitário UNA</w:t>
      </w:r>
      <w:r w:rsidRPr="00527ABE">
        <w:rPr>
          <w:rFonts w:cs="Arial"/>
          <w:sz w:val="19"/>
          <w:szCs w:val="19"/>
          <w:lang w:val="pt-BR"/>
        </w:rPr>
        <w:t xml:space="preserve">, Belo Horizonte - MG, Brasil. </w:t>
      </w:r>
    </w:p>
    <w:p w14:paraId="110BB9CF" w14:textId="4ECAF536" w:rsidR="003C3035" w:rsidRPr="00205777" w:rsidRDefault="003C3035" w:rsidP="003C3035">
      <w:pPr>
        <w:rPr>
          <w:rFonts w:cs="Arial"/>
          <w:sz w:val="19"/>
          <w:szCs w:val="19"/>
          <w:lang w:val="pt-BR"/>
        </w:rPr>
      </w:pPr>
      <w:r w:rsidRPr="00527ABE">
        <w:rPr>
          <w:rFonts w:cs="Arial"/>
          <w:b/>
          <w:sz w:val="19"/>
          <w:szCs w:val="19"/>
          <w:lang w:val="pt-BR"/>
        </w:rPr>
        <w:t>Editor</w:t>
      </w:r>
      <w:r w:rsidR="00FD5141" w:rsidRPr="00527ABE">
        <w:rPr>
          <w:rFonts w:cs="Arial"/>
          <w:b/>
          <w:sz w:val="19"/>
          <w:szCs w:val="19"/>
          <w:lang w:val="pt-BR"/>
        </w:rPr>
        <w:t>a</w:t>
      </w:r>
      <w:r w:rsidRPr="00527ABE">
        <w:rPr>
          <w:rFonts w:cs="Arial"/>
          <w:b/>
          <w:sz w:val="19"/>
          <w:szCs w:val="19"/>
          <w:lang w:val="pt-BR"/>
        </w:rPr>
        <w:t xml:space="preserve"> chefe:</w:t>
      </w:r>
      <w:r w:rsidRPr="00527ABE">
        <w:rPr>
          <w:rFonts w:cs="Arial"/>
          <w:sz w:val="19"/>
          <w:szCs w:val="19"/>
          <w:lang w:val="pt-BR"/>
        </w:rPr>
        <w:t xml:space="preserve"> Prof</w:t>
      </w:r>
      <w:r w:rsidR="00FD5141" w:rsidRPr="00527ABE">
        <w:rPr>
          <w:rFonts w:cs="Arial"/>
          <w:sz w:val="19"/>
          <w:szCs w:val="19"/>
          <w:lang w:val="pt-BR"/>
        </w:rPr>
        <w:t>a</w:t>
      </w:r>
      <w:r w:rsidRPr="00527ABE">
        <w:rPr>
          <w:rFonts w:cs="Arial"/>
          <w:sz w:val="19"/>
          <w:szCs w:val="19"/>
          <w:lang w:val="pt-BR"/>
        </w:rPr>
        <w:t>. Dr</w:t>
      </w:r>
      <w:r w:rsidR="00FD5141" w:rsidRPr="00527ABE">
        <w:rPr>
          <w:rFonts w:cs="Arial"/>
          <w:sz w:val="19"/>
          <w:szCs w:val="19"/>
          <w:lang w:val="pt-BR"/>
        </w:rPr>
        <w:t>a</w:t>
      </w:r>
      <w:r w:rsidRPr="00527ABE">
        <w:rPr>
          <w:rFonts w:cs="Arial"/>
          <w:sz w:val="19"/>
          <w:szCs w:val="19"/>
          <w:lang w:val="pt-BR"/>
        </w:rPr>
        <w:t xml:space="preserve">. </w:t>
      </w:r>
      <w:r w:rsidR="00FD5141" w:rsidRPr="00527ABE">
        <w:rPr>
          <w:rFonts w:cs="Arial"/>
          <w:sz w:val="19"/>
          <w:szCs w:val="19"/>
          <w:lang w:val="pt-BR"/>
        </w:rPr>
        <w:t>Daniela Viegas da Costa-Nascimento</w:t>
      </w:r>
    </w:p>
    <w:p w14:paraId="1009A958" w14:textId="09E3F2B3" w:rsidR="00F02439" w:rsidRPr="006B31AD" w:rsidRDefault="00F02439" w:rsidP="003C3035">
      <w:pPr>
        <w:rPr>
          <w:rFonts w:cs="Arial"/>
          <w:highlight w:val="yellow"/>
          <w:lang w:val="pt-BR"/>
        </w:rPr>
      </w:pPr>
    </w:p>
    <w:p w14:paraId="5DB24B84" w14:textId="771B11D1" w:rsidR="00F02439" w:rsidRPr="00527ABE" w:rsidRDefault="00F02439" w:rsidP="00997683">
      <w:pPr>
        <w:autoSpaceDE w:val="0"/>
        <w:autoSpaceDN w:val="0"/>
        <w:adjustRightInd w:val="0"/>
        <w:rPr>
          <w:rFonts w:cs="Arial"/>
          <w:sz w:val="19"/>
          <w:szCs w:val="19"/>
          <w:lang w:val="pt-BR"/>
        </w:rPr>
      </w:pPr>
      <w:r w:rsidRPr="00527ABE">
        <w:rPr>
          <w:rFonts w:cs="Arial"/>
          <w:sz w:val="19"/>
          <w:szCs w:val="19"/>
          <w:lang w:val="pt-BR"/>
        </w:rPr>
        <w:t>Este artigo encontra-se disponível no</w:t>
      </w:r>
      <w:r w:rsidR="00C036A5" w:rsidRPr="00527ABE">
        <w:rPr>
          <w:rFonts w:cs="Arial"/>
          <w:sz w:val="19"/>
          <w:szCs w:val="19"/>
          <w:lang w:val="pt-BR"/>
        </w:rPr>
        <w:t xml:space="preserve"> seguinte</w:t>
      </w:r>
      <w:r w:rsidRPr="00527ABE">
        <w:rPr>
          <w:rFonts w:cs="Arial"/>
          <w:sz w:val="19"/>
          <w:szCs w:val="19"/>
          <w:lang w:val="pt-BR"/>
        </w:rPr>
        <w:t xml:space="preserve"> endereço eletrônic</w:t>
      </w:r>
      <w:r w:rsidR="00C036A5" w:rsidRPr="00527ABE">
        <w:rPr>
          <w:rFonts w:cs="Arial"/>
          <w:sz w:val="19"/>
          <w:szCs w:val="19"/>
          <w:lang w:val="pt-BR"/>
        </w:rPr>
        <w:t>o</w:t>
      </w:r>
      <w:r w:rsidRPr="00527ABE">
        <w:rPr>
          <w:rFonts w:cs="Arial"/>
          <w:sz w:val="19"/>
          <w:szCs w:val="19"/>
          <w:lang w:val="pt-BR"/>
        </w:rPr>
        <w:t>:</w:t>
      </w:r>
    </w:p>
    <w:p w14:paraId="76A08DE5" w14:textId="10DD10FA" w:rsidR="009C3D21" w:rsidRPr="00190020" w:rsidRDefault="00C60068" w:rsidP="00997683">
      <w:pPr>
        <w:rPr>
          <w:rFonts w:cs="Arial"/>
          <w:sz w:val="19"/>
          <w:szCs w:val="19"/>
          <w:lang w:val="pt-BR"/>
        </w:rPr>
      </w:pPr>
      <w:r w:rsidRPr="00527ABE">
        <w:rPr>
          <w:rFonts w:cs="Arial"/>
          <w:sz w:val="19"/>
          <w:szCs w:val="19"/>
          <w:lang w:val="pt-BR"/>
        </w:rPr>
        <w:t>http://revistas.una.br/index.php/reuna/article/view/</w:t>
      </w:r>
      <w:r w:rsidR="00527ABE">
        <w:rPr>
          <w:rFonts w:cs="Arial"/>
          <w:sz w:val="19"/>
          <w:szCs w:val="19"/>
          <w:lang w:val="pt-BR"/>
        </w:rPr>
        <w:t>1437</w:t>
      </w:r>
      <w:r w:rsidRPr="00190020">
        <w:rPr>
          <w:rFonts w:cs="Arial"/>
          <w:sz w:val="19"/>
          <w:szCs w:val="19"/>
          <w:lang w:val="pt-BR"/>
        </w:rPr>
        <w:t xml:space="preserve"> </w:t>
      </w:r>
    </w:p>
    <w:p w14:paraId="3012B4C1" w14:textId="07B6F06C" w:rsidR="00003608" w:rsidRPr="00190020" w:rsidRDefault="00003608" w:rsidP="00997683">
      <w:pPr>
        <w:pStyle w:val="HTMLPreformatted"/>
        <w:rPr>
          <w:rFonts w:ascii="Times New Roman" w:hAnsi="Times New Roman" w:cs="Times New Roman"/>
          <w:color w:val="FF0000"/>
          <w:sz w:val="24"/>
          <w:szCs w:val="24"/>
          <w:lang w:val="pt-BR"/>
        </w:rPr>
      </w:pPr>
    </w:p>
    <w:p w14:paraId="697DDEE3" w14:textId="77777777" w:rsidR="00C60068" w:rsidRPr="00190020" w:rsidRDefault="00C60068" w:rsidP="00C60068">
      <w:pPr>
        <w:pStyle w:val="HTMLPreformatted"/>
        <w:rPr>
          <w:rFonts w:ascii="Arial" w:hAnsi="Arial" w:cs="Arial"/>
          <w:b/>
          <w:bCs/>
          <w:sz w:val="24"/>
          <w:szCs w:val="24"/>
          <w:lang w:val="pt-BR"/>
        </w:rPr>
      </w:pPr>
      <w:r w:rsidRPr="00190020">
        <w:rPr>
          <w:rFonts w:ascii="Arial" w:hAnsi="Arial" w:cs="Arial"/>
          <w:b/>
          <w:bCs/>
          <w:sz w:val="24"/>
          <w:szCs w:val="24"/>
          <w:lang w:val="pt-BR"/>
        </w:rPr>
        <w:t>Resumo</w:t>
      </w:r>
    </w:p>
    <w:p w14:paraId="1CDC8A60" w14:textId="6160DE3B" w:rsidR="00C60068" w:rsidRDefault="00FB69AC" w:rsidP="00152D03">
      <w:pPr>
        <w:jc w:val="both"/>
        <w:rPr>
          <w:rFonts w:cs="Arial"/>
          <w:iCs/>
          <w:lang w:val="pt-BR"/>
        </w:rPr>
      </w:pPr>
      <w:r>
        <w:rPr>
          <w:rFonts w:cs="Arial"/>
          <w:bCs/>
        </w:rPr>
        <w:t xml:space="preserve">O objetivo deste trabalho é </w:t>
      </w:r>
      <w:bookmarkStart w:id="1" w:name="_Hlk100245735"/>
      <w:r>
        <w:rPr>
          <w:rFonts w:cs="Arial"/>
          <w:bCs/>
        </w:rPr>
        <w:t>analisar as características relacionadas ao acesso de políticas públicas da agricultura familiar que influenciam na organização formal dos agricultores dos municípios de Minas Gerais</w:t>
      </w:r>
      <w:bookmarkEnd w:id="1"/>
      <w:r>
        <w:rPr>
          <w:rFonts w:cs="Arial"/>
          <w:bCs/>
        </w:rPr>
        <w:t xml:space="preserve">. Para atender a esse objetivo foi realizada uma pesquisa quantitativa de caráter explicativo, a partir da técnica de regressão logística com auxílio do software R Studio. A amostra foi composta por 776 municípios mineiros. Como variável dependente, a existência ou não de DAP Jurídica no município foi utilizada como </w:t>
      </w:r>
      <w:r>
        <w:rPr>
          <w:rFonts w:cs="Arial"/>
          <w:bCs/>
          <w:i/>
          <w:iCs/>
        </w:rPr>
        <w:t>proxy</w:t>
      </w:r>
      <w:r>
        <w:rPr>
          <w:rFonts w:cs="Arial"/>
          <w:bCs/>
        </w:rPr>
        <w:t xml:space="preserve"> de organização formal. O percentual de aquisições de alimentos da agricultura familiar nos municípios foi utilizado como variável independente de interesse. As demais variáveis independentes de controle foram: o número de estabelecimentos da agricultura familiar nos municípios; o número de estabelecimentos nos municípios que receberam assistência governamental; o valor adicionado da agropecuária nos municípios e; o número de estabelecimentos nos municípios que solicitaram financiamento via PRONAF. Os principais resultados evidenciaram que um aumento no percentual de aquisição de alimentos da agricultura familiar, aumenta as chances de existência de DAP Jurídica no município e consequentemente a formalização de associações e cooperativas. O estudo contribui para a literatura ao apontar que dependendo das características municipais pode haver maiores chances de formalização dos agricultores familiares em empreendimentos que lhes garantam melhores oportunidades econômicas e sociais</w:t>
      </w:r>
      <w:r w:rsidR="00C60068" w:rsidRPr="00190020">
        <w:rPr>
          <w:rFonts w:cs="Arial"/>
          <w:iCs/>
          <w:lang w:val="pt-BR"/>
        </w:rPr>
        <w:t>.</w:t>
      </w:r>
    </w:p>
    <w:p w14:paraId="5C3A728C" w14:textId="77777777" w:rsidR="00152D03" w:rsidRPr="00190020" w:rsidRDefault="00152D03" w:rsidP="00C60068">
      <w:pPr>
        <w:rPr>
          <w:rFonts w:cs="Arial"/>
          <w:iCs/>
          <w:lang w:val="pt-BR"/>
        </w:rPr>
      </w:pPr>
    </w:p>
    <w:p w14:paraId="103201DB" w14:textId="3FA742A5" w:rsidR="00C60068" w:rsidRPr="00190020" w:rsidRDefault="00C60068" w:rsidP="00152D03">
      <w:pPr>
        <w:jc w:val="both"/>
        <w:rPr>
          <w:rFonts w:ascii="Times New Roman" w:hAnsi="Times New Roman"/>
          <w:color w:val="FF0000"/>
          <w:lang w:val="pt-BR"/>
        </w:rPr>
      </w:pPr>
      <w:r w:rsidRPr="00190020">
        <w:rPr>
          <w:rFonts w:cs="Arial"/>
          <w:b/>
          <w:bCs/>
          <w:lang w:val="pt-BR"/>
        </w:rPr>
        <w:t xml:space="preserve">Palavras-chave: </w:t>
      </w:r>
      <w:r w:rsidR="00FB69AC">
        <w:rPr>
          <w:rFonts w:cs="Arial"/>
          <w:bCs/>
        </w:rPr>
        <w:t>Políticas Públicas, Agricultura Familiar, PNAE, PRONAF, Regressão Logística.</w:t>
      </w:r>
    </w:p>
    <w:p w14:paraId="2E53D269" w14:textId="77777777" w:rsidR="00C60068" w:rsidRPr="00190020" w:rsidRDefault="00C60068" w:rsidP="00997683">
      <w:pPr>
        <w:pStyle w:val="HTMLPreformatted"/>
        <w:rPr>
          <w:rFonts w:ascii="Times New Roman" w:hAnsi="Times New Roman" w:cs="Times New Roman"/>
          <w:color w:val="FF0000"/>
          <w:sz w:val="24"/>
          <w:szCs w:val="24"/>
          <w:lang w:val="pt-BR"/>
        </w:rPr>
      </w:pPr>
    </w:p>
    <w:p w14:paraId="7285357E" w14:textId="1B984FF9" w:rsidR="003F657C" w:rsidRPr="00152D03" w:rsidRDefault="00DB288B" w:rsidP="00997683">
      <w:pPr>
        <w:pStyle w:val="HTMLPreformatted"/>
        <w:rPr>
          <w:rFonts w:ascii="Arial" w:hAnsi="Arial" w:cs="Arial"/>
          <w:b/>
          <w:bCs/>
          <w:color w:val="000000"/>
          <w:sz w:val="24"/>
          <w:szCs w:val="24"/>
          <w:lang w:val="en-US"/>
        </w:rPr>
      </w:pPr>
      <w:r w:rsidRPr="00152D03">
        <w:rPr>
          <w:rFonts w:ascii="Arial" w:hAnsi="Arial" w:cs="Arial"/>
          <w:b/>
          <w:bCs/>
          <w:color w:val="000000"/>
          <w:sz w:val="24"/>
          <w:szCs w:val="24"/>
          <w:lang w:val="en-US"/>
        </w:rPr>
        <w:t>Abstract</w:t>
      </w:r>
    </w:p>
    <w:p w14:paraId="65BD1FF3" w14:textId="49493B07" w:rsidR="00C72100" w:rsidRDefault="00FB69AC" w:rsidP="00152D03">
      <w:pPr>
        <w:jc w:val="both"/>
        <w:rPr>
          <w:lang w:val="en-US"/>
        </w:rPr>
      </w:pPr>
      <w:r>
        <w:rPr>
          <w:rFonts w:cs="Arial"/>
          <w:i/>
          <w:lang w:val="en-US"/>
        </w:rPr>
        <w:t xml:space="preserve">The objective of this work is to analyze characteristics related to the access to public policies of family agriculture that influence the formal organization of farmers in the </w:t>
      </w:r>
      <w:r>
        <w:rPr>
          <w:rFonts w:cs="Arial"/>
          <w:i/>
          <w:lang w:val="en-US"/>
        </w:rPr>
        <w:lastRenderedPageBreak/>
        <w:t xml:space="preserve">municipalities of Minas Gerais. To meet this objective, an explanatory quantitative research was carried out, using the logistic regression technique with the aid of the R Studio software. The sample consisted of 776 municipalities in Minas Gerais. As a dependent variable, the existence or not of DAP </w:t>
      </w:r>
      <w:proofErr w:type="spellStart"/>
      <w:r>
        <w:rPr>
          <w:rFonts w:cs="Arial"/>
          <w:i/>
          <w:lang w:val="en-US"/>
        </w:rPr>
        <w:t>Jurídica</w:t>
      </w:r>
      <w:proofErr w:type="spellEnd"/>
      <w:r>
        <w:rPr>
          <w:rFonts w:cs="Arial"/>
          <w:i/>
          <w:lang w:val="en-US"/>
        </w:rPr>
        <w:t xml:space="preserve"> in the municipality was used as a proxy for formal organization. The percentage of food purchases from family farming in the municipalities was used as an independent variable of interest. The other independent control variables were: the number of family farming establishments in the municipalities; the number of establishments in the municipalities that received government assistance; the added value of agriculture in the municipalities and; the number of establishments in the municipalities that requested funding via PRONAF. The main results showed that an increase in the percentage of food acquisition from family farming increases the chances of the existence of DAP </w:t>
      </w:r>
      <w:proofErr w:type="spellStart"/>
      <w:r>
        <w:rPr>
          <w:rFonts w:cs="Arial"/>
          <w:i/>
          <w:lang w:val="en-US"/>
        </w:rPr>
        <w:t>Jurídica</w:t>
      </w:r>
      <w:proofErr w:type="spellEnd"/>
      <w:r>
        <w:rPr>
          <w:rFonts w:cs="Arial"/>
          <w:i/>
          <w:lang w:val="en-US"/>
        </w:rPr>
        <w:t xml:space="preserve"> in the municipality and consequently the formalization of associations and cooperatives. The study contributes to the literature by pointing out that depending on municipal characteristics, there may be greater chances of formalization of family farmers in enterprises that will guarantee them better economic and social opportunities</w:t>
      </w:r>
      <w:r w:rsidR="00BC063A" w:rsidRPr="00152D03">
        <w:rPr>
          <w:lang w:val="en-US"/>
        </w:rPr>
        <w:t xml:space="preserve">.  </w:t>
      </w:r>
    </w:p>
    <w:p w14:paraId="196A510A" w14:textId="77777777" w:rsidR="00152D03" w:rsidRPr="00152D03" w:rsidRDefault="00152D03" w:rsidP="00152D03">
      <w:pPr>
        <w:jc w:val="both"/>
        <w:rPr>
          <w:lang w:val="en-US"/>
        </w:rPr>
      </w:pPr>
    </w:p>
    <w:p w14:paraId="346F762F" w14:textId="29B66F70" w:rsidR="003A4315" w:rsidRPr="00152D03" w:rsidRDefault="00DB288B" w:rsidP="00152D03">
      <w:pPr>
        <w:jc w:val="both"/>
        <w:rPr>
          <w:rFonts w:cs="Arial"/>
          <w:b/>
          <w:bCs/>
          <w:lang w:val="en-US"/>
        </w:rPr>
      </w:pPr>
      <w:r w:rsidRPr="00152D03">
        <w:rPr>
          <w:rFonts w:cs="Arial"/>
          <w:b/>
          <w:bCs/>
          <w:color w:val="000000" w:themeColor="text1"/>
          <w:lang w:val="en-US"/>
        </w:rPr>
        <w:t>Keywords</w:t>
      </w:r>
      <w:r w:rsidR="003F657C" w:rsidRPr="00152D03">
        <w:rPr>
          <w:rFonts w:cs="Arial"/>
          <w:color w:val="000000" w:themeColor="text1"/>
          <w:lang w:val="en-US"/>
        </w:rPr>
        <w:t xml:space="preserve">: </w:t>
      </w:r>
      <w:r w:rsidR="00FB69AC">
        <w:rPr>
          <w:rFonts w:cs="Arial"/>
          <w:i/>
          <w:lang w:val="en-US"/>
        </w:rPr>
        <w:t>Public Policies, Family Farming, PNAE, PRONAF, Logistic Regression.</w:t>
      </w:r>
    </w:p>
    <w:p w14:paraId="50DDFC91" w14:textId="77777777" w:rsidR="00801953" w:rsidRPr="00152D03" w:rsidRDefault="00801953" w:rsidP="00997683">
      <w:pPr>
        <w:rPr>
          <w:rFonts w:cs="Arial"/>
          <w:b/>
          <w:bCs/>
          <w:lang w:val="en-US"/>
        </w:rPr>
      </w:pPr>
    </w:p>
    <w:p w14:paraId="1B876699" w14:textId="4AEED09F" w:rsidR="00A95416" w:rsidRPr="00190020" w:rsidRDefault="00A95416" w:rsidP="00997683">
      <w:pPr>
        <w:pStyle w:val="Heading1"/>
        <w:rPr>
          <w:rFonts w:cs="Arial"/>
          <w:szCs w:val="24"/>
        </w:rPr>
      </w:pPr>
      <w:bookmarkStart w:id="2" w:name="_Toc441814743"/>
      <w:r w:rsidRPr="00190020">
        <w:rPr>
          <w:szCs w:val="24"/>
        </w:rPr>
        <w:t xml:space="preserve">1. </w:t>
      </w:r>
      <w:bookmarkEnd w:id="2"/>
      <w:r w:rsidR="00C60068" w:rsidRPr="00190020">
        <w:rPr>
          <w:szCs w:val="24"/>
        </w:rPr>
        <w:t>Introdução</w:t>
      </w:r>
    </w:p>
    <w:p w14:paraId="0188C541" w14:textId="77777777" w:rsidR="00FB69AC" w:rsidRDefault="00FB69AC" w:rsidP="00A31AA9">
      <w:pPr>
        <w:spacing w:before="120"/>
        <w:ind w:firstLine="709"/>
        <w:jc w:val="both"/>
        <w:rPr>
          <w:rFonts w:cs="Arial"/>
          <w:lang w:val="pt-BR"/>
        </w:rPr>
      </w:pPr>
      <w:r>
        <w:rPr>
          <w:rFonts w:cs="Arial"/>
        </w:rPr>
        <w:t>De acordo com o Censo Agropecuário do Instituto Brasileiro de Geografia e Estatística (IBGE), em 2017 no Brasil, de 5.073.324 estabelecimentos agropecuários, 3,9 milhões foram classificados como da agricultura familiar. Tal categoria, representa 77% dos estabelecimentos, sendo a área ocupada por esses agricultores de 80,9 milhões de</w:t>
      </w:r>
      <w:r>
        <w:rPr>
          <w:rFonts w:cs="Arial"/>
          <w:i/>
          <w:iCs/>
        </w:rPr>
        <w:t xml:space="preserve"> </w:t>
      </w:r>
      <w:r>
        <w:rPr>
          <w:rFonts w:cs="Arial"/>
        </w:rPr>
        <w:t xml:space="preserve">hectares, correspondendo a 23% da área total, com participação de 23% no valor da produção agropecuária brasileira (IBGE, 2017). </w:t>
      </w:r>
    </w:p>
    <w:p w14:paraId="770410D9" w14:textId="77777777" w:rsidR="00FB69AC" w:rsidRDefault="00FB69AC" w:rsidP="00A31AA9">
      <w:pPr>
        <w:spacing w:before="120"/>
        <w:ind w:firstLine="709"/>
        <w:jc w:val="both"/>
        <w:rPr>
          <w:rFonts w:cs="Arial"/>
        </w:rPr>
      </w:pPr>
      <w:r>
        <w:rPr>
          <w:rFonts w:cs="Arial"/>
        </w:rPr>
        <w:t xml:space="preserve">Neste contexto, a agricultura familiar representa mais do que uma atividade de subsistência, se tornando a principal fonte de renda para mais de 3,9 milhões de estabelecimentos (IBGE, 2017). Em tal modelo produtivo, as atividades concentram-se em menores áreas, mas ainda contribuem com participação econômica e significativa para a agropecuária nacional (CAZELLA; CAPELLESSO; SCHNEIDER, 2020).   </w:t>
      </w:r>
    </w:p>
    <w:p w14:paraId="7207448C" w14:textId="77777777" w:rsidR="00FB69AC" w:rsidRDefault="00FB69AC" w:rsidP="00A31AA9">
      <w:pPr>
        <w:spacing w:before="120"/>
        <w:ind w:firstLine="709"/>
        <w:jc w:val="both"/>
        <w:rPr>
          <w:rFonts w:cs="Arial"/>
        </w:rPr>
      </w:pPr>
      <w:r>
        <w:rPr>
          <w:rFonts w:cs="Arial"/>
        </w:rPr>
        <w:t>Considera-se agricultor familiar e empreendedor familiar rural o indivíduo que atende, simultaneamente, aos requisitos de: não detenção de área maior do que quatro módulos fiscais; utilização de mão de obra predominante familiar nas atividades econômicas do estabelecimento ou empreendimento; tenha renda familiar originada das atividades econômicas do estabelecimento ou empreendimento e; realize a gestão do empreendimento com a sua família (BRASIL, 2006).</w:t>
      </w:r>
    </w:p>
    <w:p w14:paraId="1BDDB402" w14:textId="77777777" w:rsidR="00FB69AC" w:rsidRDefault="00FB69AC" w:rsidP="00A31AA9">
      <w:pPr>
        <w:spacing w:before="120"/>
        <w:ind w:firstLine="709"/>
        <w:jc w:val="both"/>
        <w:rPr>
          <w:rFonts w:cs="Arial"/>
        </w:rPr>
      </w:pPr>
      <w:r>
        <w:rPr>
          <w:rFonts w:cs="Arial"/>
        </w:rPr>
        <w:t>Por volta de meados de 1990, o contexto da agricultura familiar passou por transformações na construção do espaço para os agricultores familiares, por meio da formulação das primeiras políticas públicas específicas para essa classe (ESQUERDO; BERGAMASCO, 2014). O processo da construção de políticas públicas para a agricultura familiar foi complexo e teve como base três principais atores: os acadêmicos, os gestores representantes do Estado e, os representantes dos sindicatos e movimentos dos trabalhadores rurais (GRISA; SCHNEIDER, 2014; PICOLOTTO, 2014).</w:t>
      </w:r>
    </w:p>
    <w:p w14:paraId="234F8207" w14:textId="77777777" w:rsidR="00FB69AC" w:rsidRDefault="00FB69AC" w:rsidP="00A31AA9">
      <w:pPr>
        <w:spacing w:before="120"/>
        <w:ind w:firstLine="709"/>
        <w:jc w:val="both"/>
        <w:rPr>
          <w:rFonts w:cs="Arial"/>
        </w:rPr>
      </w:pPr>
      <w:r>
        <w:rPr>
          <w:rFonts w:cs="Arial"/>
        </w:rPr>
        <w:lastRenderedPageBreak/>
        <w:t xml:space="preserve">Todavia, esta categoria passou a ganhar espaço de fato, por volta de 1996, com a criação do Programa de Fortalecimento da Agricultura Familiar (PRONAF). Vale ressaltar que o PRONAF se deu como evolução do Programa de Valorização da Pequena Produção (PROVAP), iniciado em 1994 e que permitiu a diferenciação de crédito por categoria de agricultor (MATTEI, 2005). Visto que antes, para se enquadrar no acesso às políticas públicas, o pequeno produtor se encontrava em situações não favoráveis, pois nos programas de crédito, se via obrigado a disputar recursos com grandes produtores, seguindo as mesmas rotinas das instituições financeiras para o grande produtor (BELIK; DOMENE, 2012). </w:t>
      </w:r>
    </w:p>
    <w:p w14:paraId="3C3BFD17" w14:textId="77777777" w:rsidR="00FB69AC" w:rsidRDefault="00FB69AC" w:rsidP="00A31AA9">
      <w:pPr>
        <w:spacing w:before="120"/>
        <w:ind w:firstLine="709"/>
        <w:jc w:val="both"/>
        <w:rPr>
          <w:rFonts w:cs="Arial"/>
        </w:rPr>
      </w:pPr>
      <w:r>
        <w:rPr>
          <w:rFonts w:cs="Arial"/>
        </w:rPr>
        <w:t xml:space="preserve">Apesar do reconhecimento da necessidade de aprimorar políticas públicas para tais produtores, existem dificuldades para o acesso a determinados programas, como o Programa Nacional de Alimentação Escolar (PNAE), o próprio PRONAF e o Programa de Aquisição de Alimentos (PAA). Segundo Esquerdo e Bergamasco (2014), a falta de organização dos produtores, a falta de informação e a documentação insuficiente representam os principais fatores que levam os agricultores familiares a não terem efetiva participação nos programas destinados a eles. </w:t>
      </w:r>
    </w:p>
    <w:p w14:paraId="64693E2F" w14:textId="77777777" w:rsidR="00FB69AC" w:rsidRDefault="00FB69AC" w:rsidP="00A31AA9">
      <w:pPr>
        <w:spacing w:before="120"/>
        <w:ind w:firstLine="709"/>
        <w:jc w:val="both"/>
        <w:rPr>
          <w:rFonts w:cs="Arial"/>
        </w:rPr>
      </w:pPr>
      <w:r>
        <w:rPr>
          <w:rFonts w:cs="Arial"/>
        </w:rPr>
        <w:t xml:space="preserve">Em consonância com as autoras, outros estudos (JUNQUEIRA; LIMA, 2008; ESQUERDO; BERGAMASCO, 2014; FERIGOLLO et al., 2017; TROIAN; BREINTENBACH, 2020) também evidenciaram gargalos para a participação e continuação no PNAE, como por exemplo a falta de documentação para emissão de Declaração de Aptidão do PRONAF (DAP), o baixo valor pago nos alimentos, o atraso no pagamento e falhas na busca por efetividade do município ao acessarem e implementarem tais políticas públicas. </w:t>
      </w:r>
    </w:p>
    <w:p w14:paraId="34838151" w14:textId="77777777" w:rsidR="00FB69AC" w:rsidRDefault="00FB69AC" w:rsidP="00A31AA9">
      <w:pPr>
        <w:spacing w:before="120"/>
        <w:ind w:firstLine="709"/>
        <w:jc w:val="both"/>
        <w:rPr>
          <w:rFonts w:cs="Arial"/>
        </w:rPr>
      </w:pPr>
      <w:r>
        <w:rPr>
          <w:rFonts w:cs="Arial"/>
        </w:rPr>
        <w:t>A Declaração de Aptidão ao Programa Nacional de Fortalecimento da Agricultura Familiar (DAP) é o instrumento utilizado para identificar e qualificar as Unidades Familiares de Produção Agrária (UFPA) da agricultura familiar, de forma física e, suas formas associativas organizadas em pessoas jurídicas. A DAP passa a ser uma das exigências para que o agricultor familiar acesse políticas públicas como o PRONAF, PNAE e PAA. A DAP pode ser emitida de forma individual, conhecida como DAP Física e para organizações de agricultores familiares denominada DAP Jurídica. Para que a organização obtenha a DAP Jurídica e seja identificada como cooperativa ou associação de agricultores familiares é necessário que 70% dos associados tenham a DAP Física ativa (MDA, 2017).</w:t>
      </w:r>
    </w:p>
    <w:p w14:paraId="3404DE03" w14:textId="77777777" w:rsidR="00FB69AC" w:rsidRDefault="00FB69AC" w:rsidP="00A31AA9">
      <w:pPr>
        <w:spacing w:before="120"/>
        <w:ind w:firstLine="709"/>
        <w:jc w:val="both"/>
        <w:rPr>
          <w:rFonts w:cs="Arial"/>
        </w:rPr>
      </w:pPr>
      <w:r>
        <w:rPr>
          <w:rFonts w:cs="Arial"/>
        </w:rPr>
        <w:t xml:space="preserve">Além de tais questões, é fundamental destacar o importante papel das organizações cooperativistas e associativistas como articuladoras dos agricultores familiares para o acesso às políticas públicas voltadas para comercialização dos produtos alimentícios, além de contribuir com a geração de renda e empoderamento dos grupos produtivos (RIOS; CARVALHO, 2007; OLIVEIRA et al., 2013; COSTA; JUNIOR; SILVA, 2015; CUNHA; FREITAS; SALGADO, 2017). Cabe ressaltar que 71,2% dos estabelecimentos agropecuários cooperados brasileiros são da agricultura familiar (IBGE, 2017). </w:t>
      </w:r>
    </w:p>
    <w:p w14:paraId="39C5EDE9" w14:textId="77777777" w:rsidR="00FB69AC" w:rsidRDefault="00FB69AC" w:rsidP="00A31AA9">
      <w:pPr>
        <w:spacing w:before="120"/>
        <w:ind w:firstLine="709"/>
        <w:jc w:val="both"/>
        <w:rPr>
          <w:rFonts w:cs="Arial"/>
        </w:rPr>
      </w:pPr>
      <w:r>
        <w:rPr>
          <w:rFonts w:cs="Arial"/>
        </w:rPr>
        <w:t xml:space="preserve">De forma complementar, inúmeras características presentes nos municípios podem influenciar tanto o acesso quanto a implementação de políticas públicas para agricultores familiares. Para Grisa e Schneider (2014) as diferentes formas de implementação das políticas a partir das características particulares de cada município, têm influência direta no sucesso ou fracasso para a verdadeira mudança na realidade dos agricultores familiares. </w:t>
      </w:r>
    </w:p>
    <w:p w14:paraId="7944CECB" w14:textId="77777777" w:rsidR="00FB69AC" w:rsidRDefault="00FB69AC" w:rsidP="00A31AA9">
      <w:pPr>
        <w:spacing w:before="120"/>
        <w:ind w:firstLine="709"/>
        <w:jc w:val="both"/>
        <w:rPr>
          <w:rFonts w:cs="Arial"/>
        </w:rPr>
      </w:pPr>
      <w:r>
        <w:rPr>
          <w:rFonts w:cs="Arial"/>
        </w:rPr>
        <w:lastRenderedPageBreak/>
        <w:t xml:space="preserve">Em face do contexto apresentado, o presente estudo </w:t>
      </w:r>
      <w:bookmarkStart w:id="3" w:name="_Hlk99544059"/>
      <w:r>
        <w:rPr>
          <w:rFonts w:cs="Arial"/>
        </w:rPr>
        <w:t xml:space="preserve">objetiva </w:t>
      </w:r>
      <w:r>
        <w:rPr>
          <w:rFonts w:cs="Arial"/>
          <w:i/>
          <w:iCs/>
        </w:rPr>
        <w:t>analisar as características relacionadas ao acesso das políticas públicas de agricultura familiar que influenciam na organização formal dos agricultores nos municípios de Minas Gerais</w:t>
      </w:r>
      <w:r>
        <w:rPr>
          <w:rFonts w:cs="Arial"/>
        </w:rPr>
        <w:t xml:space="preserve">. </w:t>
      </w:r>
      <w:bookmarkEnd w:id="3"/>
    </w:p>
    <w:p w14:paraId="5FBE4911" w14:textId="77777777" w:rsidR="00FB69AC" w:rsidRDefault="00FB69AC" w:rsidP="00A31AA9">
      <w:pPr>
        <w:spacing w:before="120"/>
        <w:ind w:firstLine="709"/>
        <w:jc w:val="both"/>
        <w:rPr>
          <w:rFonts w:cs="Arial"/>
        </w:rPr>
      </w:pPr>
      <w:r>
        <w:rPr>
          <w:rFonts w:cs="Arial"/>
        </w:rPr>
        <w:t xml:space="preserve">Para atender a tal objetivo foi elaborado um modelo de regressão logística, caracterizando como variável dependente a existência ou não de DAP Jurídica, utilizada aqui como </w:t>
      </w:r>
      <w:r>
        <w:rPr>
          <w:rFonts w:cs="Arial"/>
          <w:i/>
          <w:iCs/>
        </w:rPr>
        <w:t xml:space="preserve">proxy </w:t>
      </w:r>
      <w:r>
        <w:rPr>
          <w:rFonts w:cs="Arial"/>
        </w:rPr>
        <w:t xml:space="preserve">de organização formal, visto que tal documento sinaliza a existência ou não de cooperativas e associações no município. Como variável independente de interesse foi considerado o percentual de aquisição de alimentos da agricultura familiar, uma vez que a legislação relacionada à compra de produtos da agricultura familiar incentiva propostas de grupos articulados em associações e cooperativas como critério de desempate nos editais de aquisição (BRASIL, 2020). As demais variáveis dependentes, caracterizadas aqui como variáveis de controle são: o número de estabelecimentos da agricultura familiar no município; o número de estabelecimentos no município que receberam assistência governamental; o valor adicionado da agropecuária no município e o número de estabelecimentos no município que solicitaram financiamento via PRONAF. </w:t>
      </w:r>
    </w:p>
    <w:p w14:paraId="2205ECD1" w14:textId="1EB3A9C7" w:rsidR="00FB69AC" w:rsidRDefault="00FB69AC" w:rsidP="00A31AA9">
      <w:pPr>
        <w:spacing w:before="120"/>
        <w:ind w:firstLine="709"/>
        <w:jc w:val="both"/>
        <w:rPr>
          <w:rFonts w:cs="Arial"/>
        </w:rPr>
      </w:pPr>
      <w:r>
        <w:rPr>
          <w:rFonts w:cs="Arial"/>
        </w:rPr>
        <w:t>Além desta introdução, este trabalho está dividido em mais quatro seções. Na próxima é apresentada o referencial teórico a respeito das políticas públicas para a agricultura familiar e os modelos de organizações dos produtores. A terceira seção conta com a metodologia, a quarta com os resultados e discussões e por fim, a última seção com as considerações finais.</w:t>
      </w:r>
    </w:p>
    <w:p w14:paraId="6D84F329" w14:textId="77777777" w:rsidR="00152D03" w:rsidRDefault="00152D03" w:rsidP="00A31AA9">
      <w:pPr>
        <w:spacing w:before="120"/>
        <w:ind w:firstLine="709"/>
        <w:jc w:val="both"/>
        <w:rPr>
          <w:rFonts w:cs="Arial"/>
        </w:rPr>
      </w:pPr>
    </w:p>
    <w:p w14:paraId="05B87086" w14:textId="51638C32" w:rsidR="00A642BE" w:rsidRPr="00190020" w:rsidRDefault="00F05B0E" w:rsidP="00F05B0E">
      <w:pPr>
        <w:pStyle w:val="Heading1"/>
      </w:pPr>
      <w:r w:rsidRPr="00190020">
        <w:rPr>
          <w:rFonts w:eastAsia="Arial"/>
        </w:rPr>
        <w:t xml:space="preserve">2. </w:t>
      </w:r>
      <w:r w:rsidR="00C60068" w:rsidRPr="00190020">
        <w:rPr>
          <w:rFonts w:eastAsia="Arial"/>
        </w:rPr>
        <w:t>Fundamentação teórica</w:t>
      </w:r>
    </w:p>
    <w:p w14:paraId="2AA3B2CE" w14:textId="4D699823" w:rsidR="00FB69AC" w:rsidRDefault="00FB69AC" w:rsidP="00FB69AC">
      <w:pPr>
        <w:spacing w:before="120"/>
        <w:jc w:val="both"/>
        <w:rPr>
          <w:rFonts w:cs="Arial"/>
          <w:b/>
          <w:lang w:val="pt-BR"/>
        </w:rPr>
      </w:pPr>
      <w:r>
        <w:rPr>
          <w:rFonts w:cs="Arial"/>
          <w:b/>
        </w:rPr>
        <w:t>2.1. Desenvolvimento de políticas públicas para a agricultura familiar</w:t>
      </w:r>
    </w:p>
    <w:p w14:paraId="650F4B98" w14:textId="77777777" w:rsidR="00FB69AC" w:rsidRDefault="00FB69AC" w:rsidP="00A31AA9">
      <w:pPr>
        <w:spacing w:before="120"/>
        <w:ind w:firstLine="706"/>
        <w:jc w:val="both"/>
        <w:rPr>
          <w:rFonts w:cs="Arial"/>
        </w:rPr>
      </w:pPr>
      <w:r>
        <w:rPr>
          <w:rFonts w:cs="Arial"/>
        </w:rPr>
        <w:t>O surgimento de políticas públicas para a agricultura familiar, ganhou destaque em meados de 1990. Segundo Grisa e Schneider (2014) para o desenvolvimento econômico do país, a agricultura precisava modernizar a partir de ações e políticas públicas por meio de crédito rural, garantia de preços mínimos, seguros agrícolas, pesquisas agropecuárias, assistência técnica e extensão rural. Para Buainain e Souza Filho (2006), as políticas públicas representam instrumentos que viabilizam a competitividade dos empreendimentos rurais, além de assistência técnica, extensão rural e gestão da propriedade rural agindo como um meio para o fortalecimento da agricultura familiar.</w:t>
      </w:r>
    </w:p>
    <w:p w14:paraId="16D4005B" w14:textId="77777777" w:rsidR="00FB69AC" w:rsidRDefault="00FB69AC" w:rsidP="00FB69AC">
      <w:pPr>
        <w:spacing w:before="120"/>
        <w:ind w:firstLine="708"/>
        <w:jc w:val="both"/>
        <w:rPr>
          <w:rFonts w:cs="Arial"/>
        </w:rPr>
      </w:pPr>
      <w:r>
        <w:rPr>
          <w:rFonts w:cs="Arial"/>
        </w:rPr>
        <w:t>De acordo com Picolotto (2014), os debates promovidos pela academia científica tornaram-se fundamentais para a construção e difusão de políticas públicas para a agricultura familiar, trazendo à luz o lugar que a agricultura familiar desempenhou no desenvolvimento dos países capitalistas e expondo assim, as condições precárias que se encontrava historicamente no Brasil. O Estado por sua vez, desempenhou ações para definir o sentido oficial da agricultura familiar e políticas públicas para o seu fortalecimento. O sindicalismo dos trabalhadores rurais por sua vez, tornou-se responsável pelos movimentos sociais do campo, organizando projetos para inserção do novo contexto da agricultura familiar no país.</w:t>
      </w:r>
    </w:p>
    <w:p w14:paraId="5E1E5961" w14:textId="77777777" w:rsidR="00FB69AC" w:rsidRDefault="00FB69AC" w:rsidP="00FB69AC">
      <w:pPr>
        <w:spacing w:before="120"/>
        <w:ind w:firstLine="708"/>
        <w:jc w:val="both"/>
        <w:rPr>
          <w:rFonts w:cs="Arial"/>
        </w:rPr>
      </w:pPr>
      <w:r>
        <w:rPr>
          <w:rFonts w:cs="Arial"/>
        </w:rPr>
        <w:t xml:space="preserve">Para Grisa e Schneider (2014), as políticas públicas da agricultura familiar passaram por três gerações: a primeira com início em 1994 com referencial agrícola e agrário, voltada para a garantia da produção agrícola dos agricultores familiares, </w:t>
      </w:r>
      <w:r>
        <w:rPr>
          <w:rFonts w:cs="Arial"/>
        </w:rPr>
        <w:lastRenderedPageBreak/>
        <w:t xml:space="preserve">sendo marcada pela constituição do PRONAF, do Seguro da Agricultura Familiar (SEAF), do Programa de Garantia de Preços da Agricultura Familiar (PGPAF) e da Assistência Técnica e Extensão Rural (ATER). Complementarmente, os autores destacam que em 1997 a segunda geração contou com referencial social e assistencial, voltado para a transferência de renda que contemplava a agricultura familiar, sendo criado o PRONAF infraestrutura, o Garantia Safra, o Programa de Habitação Rural (PNHR) e o Bolsa Família. </w:t>
      </w:r>
    </w:p>
    <w:p w14:paraId="4D57D287" w14:textId="77777777" w:rsidR="00FB69AC" w:rsidRDefault="00FB69AC" w:rsidP="00FB69AC">
      <w:pPr>
        <w:spacing w:before="120"/>
        <w:ind w:firstLine="708"/>
        <w:jc w:val="both"/>
        <w:rPr>
          <w:rFonts w:cs="Arial"/>
        </w:rPr>
      </w:pPr>
      <w:r>
        <w:rPr>
          <w:rFonts w:cs="Arial"/>
        </w:rPr>
        <w:t xml:space="preserve">Grisa e Schneider (2014) salientam que a terceira geração em 2003 contou com o referencial para a construção de mercados para segurança alimentar e sustentabilidade ambiental, marcado pela institucionalização do PAA, PNAE, Programa Nacional de Produção e Uso do Biodiesel (PNPB), Política de Garantiria de Preços Mínimos (PGPM) e, com a criação de selos e certificações para identificação da participação da agricultura familiar, quilombola, além das indicações geográficas. </w:t>
      </w:r>
    </w:p>
    <w:p w14:paraId="3D345B49" w14:textId="77777777" w:rsidR="00FB69AC" w:rsidRDefault="00FB69AC" w:rsidP="00FB69AC">
      <w:pPr>
        <w:spacing w:before="120"/>
        <w:ind w:firstLine="708"/>
        <w:jc w:val="both"/>
        <w:rPr>
          <w:rFonts w:cs="Arial"/>
        </w:rPr>
      </w:pPr>
      <w:r>
        <w:rPr>
          <w:rFonts w:cs="Arial"/>
        </w:rPr>
        <w:t xml:space="preserve">Essas gerações de políticas públicas ainda passam por alterações em sua constituição, a fim de contribuir com o desenvolvimento dos agricultores familiares. Alguns marcos tornaram-se importantes para os programas de compras institucionais. Em 2009, com a instituição da Lei nº 11.947/2009, estabeleceu-se que, do total dos recursos financeiros repassados pelo Fundo Nacional de Desenvolvimento da Educação (FNDE), no âmbito do PNAE, no mínimo 30% devem ser destinados para a aquisição de alimentos diretamente da agricultura familiar, do empreendedor familiar rural ou de suas organizações (BRASIL, 2009). </w:t>
      </w:r>
    </w:p>
    <w:p w14:paraId="1C9EDBFC" w14:textId="77777777" w:rsidR="00FB69AC" w:rsidRDefault="00FB69AC" w:rsidP="00FB69AC">
      <w:pPr>
        <w:spacing w:before="120"/>
        <w:ind w:firstLine="708"/>
        <w:jc w:val="both"/>
        <w:rPr>
          <w:rFonts w:cs="Arial"/>
        </w:rPr>
      </w:pPr>
      <w:r>
        <w:rPr>
          <w:rFonts w:cs="Arial"/>
        </w:rPr>
        <w:t>O PRONAF criado em 1996 foi a primeira política pública criada para os agricultores familiares. Para Cazella et al., (2020), o PRONAF é uma das políticas públicas agropecuárias com maior alcance nacional da agricultura familiar. A atuação do PRONAF tem como base a atuação no eixo de financiamento da produção; financiamento da infraestrutura e serviços municipais; capacitação e profissionalização dos agricultores familiares (SCHNEIDER; CAZELLA; MATTEI, 2020).</w:t>
      </w:r>
    </w:p>
    <w:p w14:paraId="156A0B92" w14:textId="77777777" w:rsidR="00FB69AC" w:rsidRDefault="00FB69AC" w:rsidP="00FB69AC">
      <w:pPr>
        <w:spacing w:before="120"/>
        <w:ind w:firstLine="708"/>
        <w:jc w:val="both"/>
        <w:rPr>
          <w:rFonts w:cs="Arial"/>
        </w:rPr>
      </w:pPr>
      <w:r>
        <w:rPr>
          <w:rFonts w:cs="Arial"/>
        </w:rPr>
        <w:t>Segundo Junqueira e Lima (2008), o PRONAF teve duas fases distintas: no período de 1996 a 1999 e após os anos 2000. No primeiro período se deu a fase de implementação da política, caracterizada com desequilíbrio espacial a favor da região Sul. A partir dos anos 2000 iniciou-se a ampliação e ajuste do programa devido as modalidades criadas para destinação dos recursos para os agricultores familiares de acordo com o nível de renda, sendo criado modalidade de agricultor familiar A, B, C, D e atualmente se tem a criação da modalidade E.</w:t>
      </w:r>
    </w:p>
    <w:p w14:paraId="204A9C49" w14:textId="77777777" w:rsidR="00FB69AC" w:rsidRDefault="00FB69AC" w:rsidP="00FB69AC">
      <w:pPr>
        <w:spacing w:before="120"/>
        <w:ind w:firstLine="708"/>
        <w:jc w:val="both"/>
        <w:rPr>
          <w:rFonts w:cs="Arial"/>
        </w:rPr>
      </w:pPr>
      <w:r>
        <w:rPr>
          <w:rFonts w:cs="Arial"/>
        </w:rPr>
        <w:t xml:space="preserve">Junqueira e Lima (2008), evidenciaram ainda a contribuição do PRONAF no desenvolvimento da economia local, na qual auxiliou os produtores no financiamento para o custeio da produção, com destaque na região Sul do país. No entanto, apesar de tais contribuições, os agricultores familiares ainda enfrentam dificuldades para o acesso ao PRONAF como por exemplo: exigências burocráticas para contratação do crédito, dificuldade em apresentar garantias aos agentes financeiros, conhecimento fragmentado sobre as linhas de crédito e receio do insucesso na atividade agrícola comprometer seus bens (CAZELLA; CAPELLESSO; SCHNEIDER, 2020).  </w:t>
      </w:r>
    </w:p>
    <w:p w14:paraId="695A517E" w14:textId="77777777" w:rsidR="00FB69AC" w:rsidRDefault="00FB69AC" w:rsidP="00FB69AC">
      <w:pPr>
        <w:spacing w:before="120"/>
        <w:ind w:firstLine="708"/>
        <w:jc w:val="both"/>
        <w:rPr>
          <w:rFonts w:cs="Arial"/>
        </w:rPr>
      </w:pPr>
      <w:r>
        <w:rPr>
          <w:rFonts w:cs="Arial"/>
        </w:rPr>
        <w:t xml:space="preserve"> O PAA por sua vez, foi a primeira política pública relacionada a compra governamental. Segundo Schmitt (2005), o PAA relaciona elementos tanto da política agrícola quanto da política de segurança alimentar e nutricional. Em 2021 o artigo 19 da Lei nº10.696/2003 que instituiu a criação do PAA foi refogada pela Lei nº </w:t>
      </w:r>
      <w:r>
        <w:rPr>
          <w:rFonts w:cs="Arial"/>
        </w:rPr>
        <w:lastRenderedPageBreak/>
        <w:t>14.284/2021, sendo determinado pelo artigo 30 a criação do Programa Alimenta Brasil. Tal programa manteve as mesmas finalidades, modalidades de compras e exigência do PAA, mas com o diferencial na preferência de aquisição dos agricultores inscrito no CadÚnico, sobretudo os beneficiários do Auxílio Inclusão Produtiva Rural (BRASIL, 2021).</w:t>
      </w:r>
    </w:p>
    <w:p w14:paraId="48F538B9" w14:textId="77777777" w:rsidR="00FB69AC" w:rsidRDefault="00FB69AC" w:rsidP="00FB69AC">
      <w:pPr>
        <w:spacing w:before="120"/>
        <w:ind w:firstLine="708"/>
        <w:jc w:val="both"/>
        <w:rPr>
          <w:rFonts w:cs="Arial"/>
        </w:rPr>
      </w:pPr>
      <w:r>
        <w:rPr>
          <w:rFonts w:cs="Arial"/>
        </w:rPr>
        <w:t xml:space="preserve">O PNAE por sua vez é considerado a política pública brasileira com maior longevidade na área de segurança alimentar e nutricional. A partir da promulgação da Lei nº 11.947/2009 o PNAE tornou-se política pública de compra institucional com o foco de inserção da agricultura familiar nos canais de comercialização. De acordo com Belik e Domene (2012), existe conformidade entre os objetivos do PNAE e PAA, pois ambos exercem a função de fomentar as ações de segurança alimentar e desenvolvimento da agricultura familiar. Em relação às políticas de compras institucional, o PNAE possui maior descentralização em relação ao PAA, e tem como principal mercado as compras para a alimentação escolar (CUNHA; FREITAS; SALGADO, 2017). </w:t>
      </w:r>
    </w:p>
    <w:p w14:paraId="028DE4E8" w14:textId="77777777" w:rsidR="00FB69AC" w:rsidRDefault="00FB69AC" w:rsidP="00FB69AC">
      <w:pPr>
        <w:spacing w:before="120"/>
        <w:ind w:firstLine="708"/>
        <w:jc w:val="both"/>
        <w:rPr>
          <w:rFonts w:cs="Arial"/>
        </w:rPr>
      </w:pPr>
      <w:r>
        <w:rPr>
          <w:rFonts w:cs="Arial"/>
        </w:rPr>
        <w:t>Tanto o PAA quanto o PNAE enfrentam inúmeros gargalos em seu processo de implementação. Os principais gargalos encontrados no PAA estão relacionados: a demora de aprovação do projeto (RESENDE et al. 2012; CIRINO et al, 2014), atrasos e descontinuidade na liberação dos recursos, falta de assistência técnica (GRISA et al., 2011), dificuldade em atender as normas sanitárias (DIAS et al., 2013), baixo valor sobre o limite de comercialização por agricultor e falta de conhecimento dos produtores e até mesmo dos gestores municipais em relação ao funcionamento do programa (ESQUERDO E BERGAMASCO, 2014). Não muito distante, os produtores também enfrentam gargalos na comercialização pelo PNAE e fatores como o baixo valor pago ao produto, a falta de documentação, a falta de chamadas públicas e ausência de pagamento do fornecedor (VILLAR et al., 2013; TROIAN; BREINTENBACH, 2020) dão dimensão desse cenário.</w:t>
      </w:r>
    </w:p>
    <w:p w14:paraId="189347A3" w14:textId="77777777" w:rsidR="00FB69AC" w:rsidRDefault="00FB69AC" w:rsidP="00FB69AC">
      <w:pPr>
        <w:spacing w:before="120"/>
        <w:ind w:firstLine="708"/>
        <w:jc w:val="both"/>
        <w:rPr>
          <w:rFonts w:cs="Arial"/>
        </w:rPr>
      </w:pPr>
      <w:r>
        <w:rPr>
          <w:rFonts w:cs="Arial"/>
        </w:rPr>
        <w:t xml:space="preserve">Vale ressaltar que, no estudo de Esquerdo e Bergamasco (2014), evidenciou-se que as principais dificuldades de acesso ao PNAE, PAA e PRONAF, resultam da não vinculação dos produtores a organizações como as cooperativas e associações, ratificando assim, a importância desse modelo de articulação produtiva para o acesso e manutenção das referidas políticas públicas. </w:t>
      </w:r>
    </w:p>
    <w:p w14:paraId="65300A43" w14:textId="77777777" w:rsidR="00FB69AC" w:rsidRDefault="00FB69AC" w:rsidP="00FB69AC">
      <w:pPr>
        <w:spacing w:before="120"/>
        <w:ind w:firstLine="708"/>
        <w:jc w:val="both"/>
        <w:rPr>
          <w:rFonts w:cs="Arial"/>
        </w:rPr>
      </w:pPr>
    </w:p>
    <w:p w14:paraId="7F069935" w14:textId="77777777" w:rsidR="00FB69AC" w:rsidRDefault="00FB69AC" w:rsidP="00FB69AC">
      <w:pPr>
        <w:spacing w:before="120"/>
        <w:jc w:val="both"/>
        <w:rPr>
          <w:rFonts w:cs="Arial"/>
          <w:b/>
        </w:rPr>
      </w:pPr>
      <w:r>
        <w:rPr>
          <w:rFonts w:cs="Arial"/>
          <w:b/>
        </w:rPr>
        <w:t>2.2 Associativismo e cooperativismo como meios de organização formal para acesso dos agricultores familiares às políticas públicas</w:t>
      </w:r>
    </w:p>
    <w:p w14:paraId="3B308389" w14:textId="77777777" w:rsidR="00FB69AC" w:rsidRDefault="00FB69AC" w:rsidP="00FB69AC">
      <w:pPr>
        <w:spacing w:before="120"/>
        <w:ind w:firstLine="708"/>
        <w:jc w:val="both"/>
        <w:rPr>
          <w:rFonts w:cs="Arial"/>
        </w:rPr>
      </w:pPr>
      <w:r>
        <w:rPr>
          <w:rFonts w:cs="Arial"/>
        </w:rPr>
        <w:t>Os produtores rurais buscam reunir-se coletivamente para que juntos possam atingir maior alcance social, político, financeiro e econômico. As associações e cooperativas permitem que pequenos agricultores em desvantagem econômica, se unam no intuito de fortalecer sua produção, enfrentar as assimetrias de poder presentes no mercado, na busca de melhorias no desenvolvimento de suas comunidades locais e modos de vida (YANBYKH; SARAIKIN; LERMAN, 2019).</w:t>
      </w:r>
    </w:p>
    <w:p w14:paraId="4F32ED38" w14:textId="77777777" w:rsidR="00FB69AC" w:rsidRDefault="00FB69AC" w:rsidP="00FB69AC">
      <w:pPr>
        <w:spacing w:before="120"/>
        <w:ind w:firstLine="708"/>
        <w:jc w:val="both"/>
        <w:rPr>
          <w:rFonts w:cs="Arial"/>
        </w:rPr>
      </w:pPr>
      <w:r>
        <w:rPr>
          <w:rFonts w:cs="Arial"/>
        </w:rPr>
        <w:t xml:space="preserve">Tais produtores ruais, possuem uma série de vantagens ao se unirem em tais empreendimentos, como por exemplo: a redução dos custos dos insumos; o aumento da produtividade e o alcance de melhores preços na comercialização devido à venda conjunta; a troca de informações e de técnicas entre associados; a eliminação de intermediários (atravessadores) e o fortalecimento do grupo, diante das dificuldades </w:t>
      </w:r>
      <w:r>
        <w:rPr>
          <w:rFonts w:cs="Arial"/>
        </w:rPr>
        <w:lastRenderedPageBreak/>
        <w:t xml:space="preserve">técnicas, econômicas e sociais. Segundo Giagnocavo, Galdeano-Gómez e Pérez-Mesa (2018), o associativismo em especial apresenta um espaço para ajuda mútua aos associados, em que a principal função é a organização e a representação dos interesses coletivos dos associados. Organizacionalmente formalizado por meio de associações, tais empreendimentos têm como foco a defesa dos interesses coletivos seja de caráter social, educacional, cultural ou filantrópico sem finalidade lucrativa (RIOS; CARVALHO, 2007). As cooperativas por sua vez, realizam atividades econômicas, também sem finalidade lucrativa, porém com a divisão das sobras entre seus membros cooperados. Seu principal foco é proporcionar condições para que seus membros unam esforços para aperfeiçoar o trabalho realizado e consequentemente alcançar novas possibilidades de comercialização de seus produtos e ou serviços  (SANTOS; FERREIRA; CAMPOS, 2019), </w:t>
      </w:r>
    </w:p>
    <w:p w14:paraId="6FC35E00" w14:textId="77777777" w:rsidR="00FB69AC" w:rsidRDefault="00FB69AC" w:rsidP="00FB69AC">
      <w:pPr>
        <w:spacing w:before="120"/>
        <w:ind w:firstLine="708"/>
        <w:jc w:val="both"/>
        <w:rPr>
          <w:rFonts w:cs="Arial"/>
        </w:rPr>
      </w:pPr>
      <w:r>
        <w:rPr>
          <w:rFonts w:cs="Arial"/>
        </w:rPr>
        <w:t xml:space="preserve">De acordo com Rios e Carvalho (2007), a constituição das cooperativas precede em muitos casos, com a organização dos produtores em forma de associação, sendo este processo eficaz para a transição de uma informalidade dos primeiros passos, para inserção solidária no mercado. A cooperativa também representa o interesse mútuo dos membros, com objetivo de desenvolvimento social, financeiro e econômico, criando oportunidades de trabalho e movimentando os negócios, a partir da organização das atividades socioeconômicas como financiamento, produção e comercialização para os seus cooperados (PEREIRA </w:t>
      </w:r>
      <w:r>
        <w:rPr>
          <w:rFonts w:cs="Arial"/>
          <w:i/>
          <w:iCs/>
        </w:rPr>
        <w:t>et al.,</w:t>
      </w:r>
      <w:r>
        <w:rPr>
          <w:rFonts w:cs="Arial"/>
        </w:rPr>
        <w:t>2021; ALVES, 2013; MORAES; SCHWAB, 2019).</w:t>
      </w:r>
    </w:p>
    <w:p w14:paraId="34FA0BFA" w14:textId="77777777" w:rsidR="00FB69AC" w:rsidRDefault="00FB69AC" w:rsidP="00FB69AC">
      <w:pPr>
        <w:spacing w:before="120"/>
        <w:ind w:firstLine="708"/>
        <w:jc w:val="both"/>
        <w:rPr>
          <w:rFonts w:cs="Arial"/>
        </w:rPr>
      </w:pPr>
      <w:r>
        <w:rPr>
          <w:rFonts w:cs="Arial"/>
        </w:rPr>
        <w:t>Para Zenaro, Schiochet e Gelinski (2017), a inserção dos produtores em cooperativas, contribui para o desenvolvimento de suas pequenas propriedades rurais, permitindo o acesso a diferentes mercados, além da diversificação e melhoria da qualidade da produção, levando também ao acesso a inovação e tecnologia para aumento da competitividade. Corroborando com a discussão, Moraes e Schwab (2019) enfatizam que a constituição das cooperativas surge da necessidade de organização e de comercialização da produção dos agricultores familiares para a sua permanência na atividade agrícola.</w:t>
      </w:r>
    </w:p>
    <w:p w14:paraId="77AA57E6" w14:textId="77777777" w:rsidR="00FB69AC" w:rsidRDefault="00FB69AC" w:rsidP="00FB69AC">
      <w:pPr>
        <w:spacing w:before="120"/>
        <w:ind w:firstLine="708"/>
        <w:jc w:val="both"/>
        <w:rPr>
          <w:rFonts w:cs="Arial"/>
        </w:rPr>
      </w:pPr>
      <w:r>
        <w:rPr>
          <w:rFonts w:cs="Arial"/>
        </w:rPr>
        <w:t>De tal forma, as cooperativas agropecuárias desempenham importante papel no desenvolvimento rural como mecanismo de geração de emprego, segurança alimentar, distribuição de renda mais justa, visando diminuir a pobreza, potencializar a competitividade e a independência das pequenas propriedades (ALTMAN, 2015). Segundo Santos, Ferreira e Campos (2019), o cooperativismo representa a institucionalização do espaço social, econômico e político, colaborando com ações de interesse coletivo e aproveitando o potencial produtivo para inserção de competitividade nos mercados locais, regionais, nacionais e globais.</w:t>
      </w:r>
    </w:p>
    <w:p w14:paraId="5CFB09D7" w14:textId="77777777" w:rsidR="00FB69AC" w:rsidRDefault="00FB69AC" w:rsidP="00FB69AC">
      <w:pPr>
        <w:spacing w:before="120"/>
        <w:ind w:firstLine="708"/>
        <w:jc w:val="both"/>
        <w:rPr>
          <w:rFonts w:cs="Arial"/>
        </w:rPr>
      </w:pPr>
      <w:r>
        <w:rPr>
          <w:rFonts w:cs="Arial"/>
        </w:rPr>
        <w:t>Por meio das organizações, os produtores passam a acessar os mercados privados e públicos. Para o acesso ao mercado público é necessário que os produtores ou organizações possuam a DAP. Para que as organizações possuam a DAP Jurídica é necessário que 70% de seus associados/cooperados estejam com a DAP física ativa (MDA, 2017). A solicitação da emissão da DAP pode ser realizada via entidades estaduais de assistência técnica e extensão rural do município, sindicados e associações de trabalhadores da agricultura familiar, escritórios regionais do Instituto Nacional da Colonização e Reforma Agrária (INCRA). Como salientado, os agricultores familiares articulados em associações e cooperativas, ou seja, detentores de DAP Jurídica têm preferência nos editais de compras públicas (BRASIL, 2020).</w:t>
      </w:r>
    </w:p>
    <w:p w14:paraId="25B55D8A" w14:textId="77777777" w:rsidR="00FB69AC" w:rsidRDefault="00FB69AC" w:rsidP="00FB69AC">
      <w:pPr>
        <w:spacing w:before="120"/>
        <w:ind w:firstLine="708"/>
        <w:jc w:val="both"/>
        <w:rPr>
          <w:rFonts w:cs="Arial"/>
        </w:rPr>
      </w:pPr>
      <w:r>
        <w:rPr>
          <w:rFonts w:cs="Arial"/>
        </w:rPr>
        <w:lastRenderedPageBreak/>
        <w:t>De acordo com Pires (2010), os negócios dos agricultores familiares se tornam mais viáveis quando estão organizados em associações ou cooperativas. Nota-se que, ao fazer parte de tais organizações, os produtores possuem vantagens para acessar as instituições parceiras dos programas e políticas públicas na comercialização dos produtos, pois essas auxiliam em todas as etapas, desde o acesso a chamadas públicas, até o escoamento da produção, armazenamento, auxílio ao acesso do crédito rural, assistência técnica e fortalecimento da agricultura familiar (CUNHA; FREITAS; SALGADO, 2017; SANTOS; FERREIRA; CAMPOS, 2019).</w:t>
      </w:r>
    </w:p>
    <w:p w14:paraId="39D24835" w14:textId="77777777" w:rsidR="00FB69AC" w:rsidRDefault="00FB69AC" w:rsidP="00FB69AC">
      <w:pPr>
        <w:spacing w:before="120"/>
        <w:ind w:firstLine="708"/>
        <w:jc w:val="both"/>
        <w:rPr>
          <w:rFonts w:cs="Arial"/>
        </w:rPr>
      </w:pPr>
      <w:r>
        <w:rPr>
          <w:rFonts w:cs="Arial"/>
        </w:rPr>
        <w:t xml:space="preserve"> É evidente a importância tanto do associativismo quanto do cooperativismo para o acesso e implementação de políticas públicas para agricultores familiares em Minas Gerais. Especificamente a respeito do cooperativismo mineiro é fundamental destacar sua importância para além da articulação de produtores rurais. De acordo com o anuário das cooperativas mineiras, das 773 organizações cooperativas, 24,96% correspondem as cooperativas agropecuárias do estado, permitindo que 20 cooperativas comercializassem para 54 países diferentes. Sobre a geração de emprego, as cooperativas agropecuárias são responsáveis pelo emprego de 16,8 mil pessoas para viabilizar o atendimento de 157,5 mil cooperados com assistência técnica, industrialização, armazenamento e comercialização da produção (OCEMG, 2021). </w:t>
      </w:r>
    </w:p>
    <w:p w14:paraId="5328E142" w14:textId="20714AC2" w:rsidR="00FB69AC" w:rsidRDefault="00FB69AC" w:rsidP="00FB69AC">
      <w:pPr>
        <w:spacing w:before="120"/>
        <w:ind w:firstLine="708"/>
        <w:jc w:val="both"/>
        <w:rPr>
          <w:rFonts w:cs="Arial"/>
        </w:rPr>
      </w:pPr>
      <w:r>
        <w:rPr>
          <w:rFonts w:cs="Arial"/>
        </w:rPr>
        <w:t>Torna-se evidente portanto, que tanto as associações quanto as cooperativas, além de representarem importância da permanência dos agricultores familiares nas atividades agrícolas, contribuem para o desenvolvimento econômico do estado e para a geração de emprego e renda nas regiões onde estão inseridas.</w:t>
      </w:r>
    </w:p>
    <w:p w14:paraId="354DA674" w14:textId="77777777" w:rsidR="00152D03" w:rsidRDefault="00152D03" w:rsidP="00FB69AC">
      <w:pPr>
        <w:spacing w:before="120"/>
        <w:ind w:firstLine="708"/>
        <w:jc w:val="both"/>
        <w:rPr>
          <w:rFonts w:cs="Arial"/>
        </w:rPr>
      </w:pPr>
    </w:p>
    <w:p w14:paraId="74668692" w14:textId="59348DCD" w:rsidR="00A642BE" w:rsidRPr="00190020" w:rsidRDefault="00F05B0E" w:rsidP="00F05B0E">
      <w:pPr>
        <w:pStyle w:val="Heading1"/>
      </w:pPr>
      <w:r w:rsidRPr="00190020">
        <w:rPr>
          <w:rFonts w:eastAsia="Arial"/>
        </w:rPr>
        <w:t xml:space="preserve">3. </w:t>
      </w:r>
      <w:r w:rsidR="00C60068" w:rsidRPr="00190020">
        <w:rPr>
          <w:rFonts w:eastAsia="Arial"/>
        </w:rPr>
        <w:t>Método</w:t>
      </w:r>
    </w:p>
    <w:p w14:paraId="26100368" w14:textId="77777777" w:rsidR="00FB69AC" w:rsidRDefault="00FB69AC" w:rsidP="00FB69AC">
      <w:pPr>
        <w:spacing w:before="120"/>
        <w:ind w:firstLine="708"/>
        <w:jc w:val="both"/>
        <w:rPr>
          <w:rFonts w:cs="Arial"/>
          <w:lang w:val="pt-BR"/>
        </w:rPr>
      </w:pPr>
      <w:r>
        <w:rPr>
          <w:rFonts w:cs="Arial"/>
        </w:rPr>
        <w:t>O presente estudo pode ser classificado quanto aos objetivos como um estudo explicativo e quanto aos meios como um estudo quantitativo. Segundo Gil (1991), o estudo explicativo tem como propósito identificar os fatores que determinam ou contribuem para ocorrência dos fenômenos. Assim, objetiva-se identificar as características relacionadas ao acesso de políticas públicas que contribuem para a ocorrência ou não de cooperativas e associações nos municípios estudados. O caráter quantitativo pode ser explicado pela forma de mensuração dos resultados, que se baseou em dados secundários, analisados no prisma estatístico (HAIR et al. ,2009).</w:t>
      </w:r>
    </w:p>
    <w:p w14:paraId="4F5F7157" w14:textId="77777777" w:rsidR="00FB69AC" w:rsidRDefault="00FB69AC" w:rsidP="00FB69AC">
      <w:pPr>
        <w:spacing w:before="120"/>
        <w:ind w:firstLine="708"/>
        <w:jc w:val="both"/>
        <w:rPr>
          <w:rFonts w:cs="Arial"/>
        </w:rPr>
      </w:pPr>
      <w:r>
        <w:rPr>
          <w:rFonts w:cs="Arial"/>
        </w:rPr>
        <w:t>Foi adotado um modelo de regressão logística que de acordo com Gujarati e Porter (2011) consiste em um modelo econométrico de seleção qualitativa, pois sua variável dependente é de natureza binária ou dicotômica, utilizada para modelar a ocorrência probabilística do evento. Quanto aos procedimentos, recorreu ao método de máxima verossimilhança por se tratar de dados não agrupados e pela natureza não linear do método, buscando maximizar a probabilidade de que um evento ocorra e não minimizar os desvios quadrados. Assim, o modelo de regressão logística pode ser expresso por:</w:t>
      </w:r>
    </w:p>
    <w:p w14:paraId="1B8BF82A" w14:textId="77777777" w:rsidR="00FB69AC" w:rsidRDefault="00000000" w:rsidP="00FB69AC">
      <w:pPr>
        <w:tabs>
          <w:tab w:val="left" w:pos="4380"/>
        </w:tabs>
        <w:spacing w:before="120"/>
        <w:ind w:firstLine="708"/>
        <w:jc w:val="center"/>
        <w:rPr>
          <w:rFonts w:cs="Arial"/>
        </w:rPr>
      </w:pPr>
      <m:oMathPara>
        <m:oMathParaPr>
          <m:jc m:val="center"/>
        </m:oMathParaPr>
        <m:oMath>
          <m:sSub>
            <m:sSubPr>
              <m:ctrlPr>
                <w:rPr>
                  <w:rFonts w:ascii="Cambria Math" w:hAnsi="Cambria Math" w:cs="Arial"/>
                  <w:i/>
                </w:rPr>
              </m:ctrlPr>
            </m:sSubPr>
            <m:e>
              <m:r>
                <w:rPr>
                  <w:rFonts w:ascii="Cambria Math" w:hAnsi="Cambria Math" w:cs="Arial"/>
                </w:rPr>
                <m:t>Logit</m:t>
              </m:r>
            </m:e>
            <m:sub>
              <m:r>
                <w:rPr>
                  <w:rFonts w:ascii="Cambria Math" w:hAnsi="Cambria Math" w:cs="Arial"/>
                </w:rPr>
                <m:t>i</m:t>
              </m:r>
            </m:sub>
          </m:sSub>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ln</m:t>
              </m:r>
            </m:fName>
            <m:e>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P</m:t>
                          </m:r>
                        </m:e>
                        <m:sub>
                          <m:r>
                            <w:rPr>
                              <w:rFonts w:ascii="Cambria Math" w:hAnsi="Cambria Math" w:cs="Arial"/>
                            </w:rPr>
                            <m:t>i</m:t>
                          </m:r>
                        </m:sub>
                      </m:sSub>
                    </m:num>
                    <m:den>
                      <m:r>
                        <w:rPr>
                          <w:rFonts w:ascii="Cambria Math" w:hAnsi="Cambria Math" w:cs="Arial"/>
                        </w:rPr>
                        <m:t xml:space="preserve">1- </m:t>
                      </m:r>
                      <m:sSub>
                        <m:sSubPr>
                          <m:ctrlPr>
                            <w:rPr>
                              <w:rFonts w:ascii="Cambria Math" w:hAnsi="Cambria Math" w:cs="Arial"/>
                              <w:i/>
                            </w:rPr>
                          </m:ctrlPr>
                        </m:sSubPr>
                        <m:e>
                          <m:r>
                            <w:rPr>
                              <w:rFonts w:ascii="Cambria Math" w:hAnsi="Cambria Math" w:cs="Arial"/>
                            </w:rPr>
                            <m:t>P</m:t>
                          </m:r>
                        </m:e>
                        <m:sub>
                          <m:r>
                            <w:rPr>
                              <w:rFonts w:ascii="Cambria Math" w:hAnsi="Cambria Math" w:cs="Arial"/>
                            </w:rPr>
                            <m:t>i</m:t>
                          </m:r>
                        </m:sub>
                      </m:sSub>
                    </m:den>
                  </m:f>
                </m:e>
              </m:d>
              <m:r>
                <w:rPr>
                  <w:rFonts w:ascii="Cambria Math" w:hAnsi="Cambria Math" w:cs="Arial"/>
                </w:rPr>
                <m:t>=</m:t>
              </m:r>
              <m:sSub>
                <m:sSubPr>
                  <m:ctrlPr>
                    <w:rPr>
                      <w:rFonts w:ascii="Cambria Math" w:hAnsi="Cambria Math" w:cs="Arial"/>
                      <w:i/>
                    </w:rPr>
                  </m:ctrlPr>
                </m:sSubPr>
                <m:e>
                  <m:r>
                    <w:rPr>
                      <w:rFonts w:ascii="Cambria Math" w:hAnsi="Cambria Math" w:cs="Arial"/>
                    </w:rPr>
                    <m:t>b</m:t>
                  </m:r>
                </m:e>
                <m:sub>
                  <m:r>
                    <w:rPr>
                      <w:rFonts w:ascii="Cambria Math" w:hAnsi="Cambria Math" w:cs="Arial"/>
                    </w:rPr>
                    <m:t>0</m:t>
                  </m:r>
                </m:sub>
              </m:sSub>
              <m:r>
                <w:rPr>
                  <w:rFonts w:ascii="Cambria Math" w:hAnsi="Cambria Math" w:cs="Arial"/>
                </w:rPr>
                <m:t>+</m:t>
              </m:r>
            </m:e>
          </m:func>
          <m:sSub>
            <m:sSubPr>
              <m:ctrlPr>
                <w:rPr>
                  <w:rFonts w:ascii="Cambria Math" w:hAnsi="Cambria Math" w:cs="Arial"/>
                  <w:i/>
                </w:rPr>
              </m:ctrlPr>
            </m:sSubPr>
            <m:e>
              <m:r>
                <w:rPr>
                  <w:rFonts w:ascii="Cambria Math" w:hAnsi="Cambria Math" w:cs="Arial"/>
                </w:rPr>
                <m:t>b</m:t>
              </m:r>
            </m:e>
            <m:sub>
              <m:r>
                <w:rPr>
                  <w:rFonts w:ascii="Cambria Math" w:hAnsi="Cambria Math" w:cs="Arial"/>
                </w:rPr>
                <m:t>0</m:t>
              </m:r>
            </m:sub>
          </m:sSub>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b</m:t>
              </m:r>
            </m:e>
            <m:sub>
              <m:r>
                <w:rPr>
                  <w:rFonts w:ascii="Cambria Math" w:hAnsi="Cambria Math" w:cs="Arial"/>
                </w:rPr>
                <m:t>n</m:t>
              </m:r>
            </m:sub>
          </m:sSub>
          <m:sSub>
            <m:sSubPr>
              <m:ctrlPr>
                <w:rPr>
                  <w:rFonts w:ascii="Cambria Math" w:hAnsi="Cambria Math" w:cs="Arial"/>
                  <w:i/>
                </w:rPr>
              </m:ctrlPr>
            </m:sSubPr>
            <m:e>
              <m:r>
                <w:rPr>
                  <w:rFonts w:ascii="Cambria Math" w:hAnsi="Cambria Math" w:cs="Arial"/>
                </w:rPr>
                <m:t>X</m:t>
              </m:r>
            </m:e>
            <m:sub>
              <m:r>
                <w:rPr>
                  <w:rFonts w:ascii="Cambria Math" w:hAnsi="Cambria Math" w:cs="Arial"/>
                </w:rPr>
                <m:t>n</m:t>
              </m:r>
            </m:sub>
          </m:sSub>
        </m:oMath>
      </m:oMathPara>
    </w:p>
    <w:p w14:paraId="63BC29C3" w14:textId="77777777" w:rsidR="00FB69AC" w:rsidRDefault="00FB69AC" w:rsidP="00FB69AC">
      <w:pPr>
        <w:spacing w:before="120"/>
        <w:jc w:val="both"/>
        <w:rPr>
          <w:rFonts w:cs="Arial"/>
        </w:rPr>
      </w:pPr>
      <w:r>
        <w:rPr>
          <w:rFonts w:cs="Arial"/>
        </w:rPr>
        <w:t>onde:</w:t>
      </w:r>
    </w:p>
    <w:p w14:paraId="449B1B1F" w14:textId="77777777" w:rsidR="00FB69AC" w:rsidRDefault="00FB69AC" w:rsidP="00FB69AC">
      <w:pPr>
        <w:spacing w:before="120"/>
        <w:jc w:val="both"/>
        <w:rPr>
          <w:rFonts w:cs="Arial"/>
          <w:sz w:val="22"/>
          <w:szCs w:val="22"/>
        </w:rPr>
      </w:pPr>
      <w:r>
        <w:rPr>
          <w:rFonts w:cs="Arial"/>
          <w:i/>
          <w:iCs/>
        </w:rPr>
        <w:t>P</w:t>
      </w:r>
      <w:r>
        <w:rPr>
          <w:rFonts w:cs="Arial"/>
          <w:i/>
          <w:iCs/>
          <w:vertAlign w:val="subscript"/>
        </w:rPr>
        <w:t xml:space="preserve">i </w:t>
      </w:r>
      <w:r>
        <w:rPr>
          <w:rFonts w:cs="Arial"/>
        </w:rPr>
        <w:t>= Probabilidade de ocorrência de determinado evento (variável dependente)</w:t>
      </w:r>
    </w:p>
    <w:p w14:paraId="0D6C42B7" w14:textId="77777777" w:rsidR="00FB69AC" w:rsidRDefault="00000000" w:rsidP="00FB69AC">
      <w:pPr>
        <w:spacing w:before="120"/>
        <w:jc w:val="both"/>
        <w:rPr>
          <w:rFonts w:cs="Arial"/>
        </w:rPr>
      </w:pPr>
      <m:oMath>
        <m:sSub>
          <m:sSubPr>
            <m:ctrlPr>
              <w:rPr>
                <w:rFonts w:ascii="Cambria Math" w:hAnsi="Cambria Math" w:cs="Arial"/>
                <w:i/>
                <w:sz w:val="22"/>
                <w:szCs w:val="22"/>
              </w:rPr>
            </m:ctrlPr>
          </m:sSubPr>
          <m:e>
            <m:r>
              <w:rPr>
                <w:rFonts w:ascii="Cambria Math" w:hAnsi="Cambria Math" w:cs="Arial"/>
              </w:rPr>
              <m:t>b</m:t>
            </m:r>
          </m:e>
          <m:sub>
            <m:r>
              <w:rPr>
                <w:rFonts w:ascii="Cambria Math" w:hAnsi="Cambria Math" w:cs="Arial"/>
              </w:rPr>
              <m:t xml:space="preserve">0 </m:t>
            </m:r>
          </m:sub>
        </m:sSub>
      </m:oMath>
      <w:r w:rsidR="00FB69AC">
        <w:rPr>
          <w:rFonts w:cs="Arial"/>
        </w:rPr>
        <w:t>= intercepto</w:t>
      </w:r>
    </w:p>
    <w:p w14:paraId="0D4820C7" w14:textId="77777777" w:rsidR="00FB69AC" w:rsidRDefault="00000000" w:rsidP="00FB69AC">
      <w:pPr>
        <w:spacing w:before="120"/>
        <w:jc w:val="both"/>
        <w:rPr>
          <w:rFonts w:cs="Arial"/>
        </w:rPr>
      </w:pPr>
      <m:oMath>
        <m:sSub>
          <m:sSubPr>
            <m:ctrlPr>
              <w:rPr>
                <w:rFonts w:ascii="Cambria Math" w:hAnsi="Cambria Math" w:cs="Arial"/>
                <w:i/>
                <w:sz w:val="22"/>
                <w:szCs w:val="22"/>
              </w:rPr>
            </m:ctrlPr>
          </m:sSubPr>
          <m:e>
            <m:r>
              <w:rPr>
                <w:rFonts w:ascii="Cambria Math" w:hAnsi="Cambria Math" w:cs="Arial"/>
              </w:rPr>
              <m:t>X</m:t>
            </m:r>
          </m:e>
          <m:sub>
            <m:r>
              <w:rPr>
                <w:rFonts w:ascii="Cambria Math" w:hAnsi="Cambria Math" w:cs="Arial"/>
              </w:rPr>
              <m:t xml:space="preserve">n </m:t>
            </m:r>
          </m:sub>
        </m:sSub>
        <m:r>
          <w:rPr>
            <w:rFonts w:ascii="Cambria Math" w:hAnsi="Cambria Math" w:cs="Arial"/>
          </w:rPr>
          <m:t xml:space="preserve"> </m:t>
        </m:r>
      </m:oMath>
      <w:r w:rsidR="00FB69AC">
        <w:rPr>
          <w:rFonts w:cs="Arial"/>
        </w:rPr>
        <w:t>= variáveis independentes</w:t>
      </w:r>
    </w:p>
    <w:p w14:paraId="231E31E9" w14:textId="77777777" w:rsidR="00FB69AC" w:rsidRDefault="00FB69AC" w:rsidP="00FB69AC">
      <w:pPr>
        <w:spacing w:before="120"/>
        <w:ind w:firstLine="708"/>
        <w:jc w:val="both"/>
        <w:rPr>
          <w:rFonts w:cs="Arial"/>
        </w:rPr>
      </w:pPr>
      <w:r>
        <w:rPr>
          <w:rFonts w:cs="Arial"/>
        </w:rPr>
        <w:tab/>
        <w:t>A regressão logística representa dois grupos de interesse com uma variável binária dependente assumindo valores de 0 e 1. O grupo de municípios que possuem organizações da agricultura familiar com DAP Jurídica é designado com o valor 1 e, se o grupo não apresenta essas características, ele é designado com o valor 0. Dessa forma, os coeficientes refletem os efeitos das variáveis independentes sobre a dependente.</w:t>
      </w:r>
    </w:p>
    <w:p w14:paraId="586D7349" w14:textId="77777777" w:rsidR="00FB69AC" w:rsidRDefault="00FB69AC" w:rsidP="00FB69AC">
      <w:pPr>
        <w:spacing w:before="120"/>
        <w:ind w:firstLine="708"/>
        <w:jc w:val="both"/>
        <w:rPr>
          <w:rFonts w:cs="Arial"/>
        </w:rPr>
      </w:pPr>
      <w:r>
        <w:rPr>
          <w:rFonts w:cs="Arial"/>
        </w:rPr>
        <w:t xml:space="preserve">Para a coleta de dados, utilizou-se de dados secundários públicos disponíveis nas bases do Sistema IBGE de Recuperação Automática (Sidra IBGE), do Fundo Nacional de Desenvolvimento Escolar (FNDE) e do Índice Mineiro de Responsabilidade Social - IMRS - Fundação João Pinheiro, relativos ao ano do último censo agropecuário, realizado em 2017 no Brasil. Para tratamentos estatísticos dos dados, utilizou-se o </w:t>
      </w:r>
      <w:r>
        <w:rPr>
          <w:rFonts w:cs="Arial"/>
          <w:i/>
          <w:iCs/>
        </w:rPr>
        <w:t xml:space="preserve">software </w:t>
      </w:r>
      <w:r>
        <w:rPr>
          <w:rFonts w:cs="Arial"/>
        </w:rPr>
        <w:t>R Studio versão 4.1.2.</w:t>
      </w:r>
    </w:p>
    <w:p w14:paraId="79ECA7D5" w14:textId="77777777" w:rsidR="00FB69AC" w:rsidRDefault="00FB69AC" w:rsidP="00FB69AC">
      <w:pPr>
        <w:spacing w:before="120"/>
        <w:ind w:firstLine="708"/>
        <w:jc w:val="both"/>
        <w:rPr>
          <w:rFonts w:cs="Arial"/>
        </w:rPr>
      </w:pPr>
    </w:p>
    <w:p w14:paraId="06EFA14D" w14:textId="77777777" w:rsidR="00FB69AC" w:rsidRDefault="00FB69AC" w:rsidP="00FB69AC">
      <w:pPr>
        <w:spacing w:before="120"/>
        <w:jc w:val="both"/>
        <w:rPr>
          <w:rFonts w:cs="Arial"/>
          <w:b/>
          <w:bCs/>
        </w:rPr>
      </w:pPr>
      <w:bookmarkStart w:id="4" w:name="_Toc99191366"/>
      <w:r>
        <w:rPr>
          <w:rFonts w:cs="Arial"/>
          <w:b/>
          <w:bCs/>
        </w:rPr>
        <w:t>3.1 Base de dados e variáveis</w:t>
      </w:r>
      <w:bookmarkEnd w:id="4"/>
    </w:p>
    <w:p w14:paraId="320BB175" w14:textId="77777777" w:rsidR="00FB69AC" w:rsidRDefault="00FB69AC" w:rsidP="00FB69AC">
      <w:pPr>
        <w:spacing w:before="120"/>
        <w:ind w:firstLine="708"/>
        <w:jc w:val="both"/>
        <w:rPr>
          <w:rFonts w:cs="Arial"/>
        </w:rPr>
      </w:pPr>
      <w:r>
        <w:rPr>
          <w:rFonts w:cs="Arial"/>
        </w:rPr>
        <w:t xml:space="preserve">Com base no referencial teórico que fundamenta este estudo, foram definidas as variáveis dependentes e as variáveis independentes que compõem o modelo de regressão logística. A variável dependente desse estudo é uma </w:t>
      </w:r>
      <w:r>
        <w:rPr>
          <w:rFonts w:cs="Arial"/>
          <w:i/>
          <w:iCs/>
        </w:rPr>
        <w:t>dummy</w:t>
      </w:r>
      <w:r>
        <w:rPr>
          <w:rFonts w:cs="Arial"/>
        </w:rPr>
        <w:t xml:space="preserve"> que indica existência ou não de DAP Jurídica nos municípios sendo utilizada como proxy de organização formal. As variáveis independentes por sua vez foram separadas em variável de interesse e variáveis de controle, conforme especificado no Quadro 1:</w:t>
      </w:r>
    </w:p>
    <w:p w14:paraId="05A3AEF9" w14:textId="77777777" w:rsidR="00FB69AC" w:rsidRDefault="00FB69AC" w:rsidP="00FB69AC">
      <w:pPr>
        <w:spacing w:before="120"/>
        <w:jc w:val="both"/>
        <w:rPr>
          <w:rFonts w:cs="Arial"/>
          <w:b/>
          <w:bCs/>
          <w:sz w:val="22"/>
          <w:szCs w:val="22"/>
        </w:rPr>
      </w:pPr>
      <w:r>
        <w:rPr>
          <w:rFonts w:cs="Arial"/>
          <w:b/>
          <w:bCs/>
        </w:rPr>
        <w:t>Quadro 1- Variáveis do modelo da regressão logística</w:t>
      </w:r>
    </w:p>
    <w:tbl>
      <w:tblPr>
        <w:tblW w:w="9645" w:type="dxa"/>
        <w:tblBorders>
          <w:top w:val="single" w:sz="4" w:space="0" w:color="7F7F7F"/>
          <w:bottom w:val="single" w:sz="4" w:space="0" w:color="7F7F7F"/>
        </w:tblBorders>
        <w:tblLayout w:type="fixed"/>
        <w:tblLook w:val="04A0" w:firstRow="1" w:lastRow="0" w:firstColumn="1" w:lastColumn="0" w:noHBand="0" w:noVBand="1"/>
      </w:tblPr>
      <w:tblGrid>
        <w:gridCol w:w="994"/>
        <w:gridCol w:w="1416"/>
        <w:gridCol w:w="2270"/>
        <w:gridCol w:w="1559"/>
        <w:gridCol w:w="2269"/>
        <w:gridCol w:w="1137"/>
      </w:tblGrid>
      <w:tr w:rsidR="00FB69AC" w14:paraId="2377A737" w14:textId="77777777" w:rsidTr="00152D03">
        <w:trPr>
          <w:cantSplit/>
          <w:trHeight w:val="330"/>
        </w:trPr>
        <w:tc>
          <w:tcPr>
            <w:tcW w:w="994" w:type="dxa"/>
            <w:tcBorders>
              <w:top w:val="single" w:sz="4" w:space="0" w:color="7F7F7F"/>
              <w:left w:val="nil"/>
              <w:bottom w:val="single" w:sz="4" w:space="0" w:color="7F7F7F"/>
              <w:right w:val="nil"/>
            </w:tcBorders>
            <w:vAlign w:val="center"/>
            <w:hideMark/>
          </w:tcPr>
          <w:p w14:paraId="737C3549" w14:textId="77777777" w:rsidR="00FB69AC" w:rsidRDefault="00FB69AC">
            <w:pPr>
              <w:spacing w:before="120"/>
              <w:jc w:val="center"/>
              <w:rPr>
                <w:rFonts w:cs="Arial"/>
                <w:b/>
                <w:bCs/>
                <w:sz w:val="20"/>
                <w:szCs w:val="20"/>
              </w:rPr>
            </w:pPr>
            <w:r>
              <w:rPr>
                <w:rFonts w:cs="Arial"/>
                <w:b/>
                <w:bCs/>
                <w:sz w:val="20"/>
                <w:szCs w:val="20"/>
              </w:rPr>
              <w:t>Tipo de Variável</w:t>
            </w:r>
          </w:p>
        </w:tc>
        <w:tc>
          <w:tcPr>
            <w:tcW w:w="1416" w:type="dxa"/>
            <w:tcBorders>
              <w:top w:val="single" w:sz="4" w:space="0" w:color="7F7F7F"/>
              <w:left w:val="nil"/>
              <w:bottom w:val="single" w:sz="4" w:space="0" w:color="7F7F7F"/>
              <w:right w:val="nil"/>
            </w:tcBorders>
            <w:vAlign w:val="center"/>
            <w:hideMark/>
          </w:tcPr>
          <w:p w14:paraId="7F151F83" w14:textId="77777777" w:rsidR="00FB69AC" w:rsidRDefault="00FB69AC">
            <w:pPr>
              <w:spacing w:before="120"/>
              <w:jc w:val="center"/>
              <w:rPr>
                <w:rFonts w:cs="Arial"/>
                <w:b/>
                <w:bCs/>
                <w:sz w:val="20"/>
                <w:szCs w:val="20"/>
              </w:rPr>
            </w:pPr>
            <w:r>
              <w:rPr>
                <w:rFonts w:cs="Arial"/>
                <w:b/>
                <w:bCs/>
                <w:sz w:val="20"/>
                <w:szCs w:val="20"/>
              </w:rPr>
              <w:t>Código</w:t>
            </w:r>
          </w:p>
        </w:tc>
        <w:tc>
          <w:tcPr>
            <w:tcW w:w="2270" w:type="dxa"/>
            <w:tcBorders>
              <w:top w:val="single" w:sz="4" w:space="0" w:color="7F7F7F"/>
              <w:left w:val="nil"/>
              <w:bottom w:val="single" w:sz="4" w:space="0" w:color="7F7F7F"/>
              <w:right w:val="nil"/>
            </w:tcBorders>
            <w:noWrap/>
            <w:vAlign w:val="center"/>
            <w:hideMark/>
          </w:tcPr>
          <w:p w14:paraId="6866D74E" w14:textId="77777777" w:rsidR="00FB69AC" w:rsidRDefault="00FB69AC">
            <w:pPr>
              <w:spacing w:before="120"/>
              <w:jc w:val="center"/>
              <w:rPr>
                <w:rFonts w:cs="Arial"/>
                <w:b/>
                <w:bCs/>
                <w:sz w:val="20"/>
                <w:szCs w:val="20"/>
              </w:rPr>
            </w:pPr>
            <w:r>
              <w:rPr>
                <w:rFonts w:cs="Arial"/>
                <w:b/>
                <w:bCs/>
                <w:sz w:val="20"/>
                <w:szCs w:val="20"/>
              </w:rPr>
              <w:t>Descrição</w:t>
            </w:r>
          </w:p>
        </w:tc>
        <w:tc>
          <w:tcPr>
            <w:tcW w:w="1559" w:type="dxa"/>
            <w:tcBorders>
              <w:top w:val="single" w:sz="4" w:space="0" w:color="7F7F7F"/>
              <w:left w:val="nil"/>
              <w:bottom w:val="single" w:sz="4" w:space="0" w:color="7F7F7F"/>
              <w:right w:val="nil"/>
            </w:tcBorders>
            <w:vAlign w:val="center"/>
            <w:hideMark/>
          </w:tcPr>
          <w:p w14:paraId="4C5EA8C5" w14:textId="77777777" w:rsidR="00FB69AC" w:rsidRDefault="00FB69AC">
            <w:pPr>
              <w:spacing w:before="120"/>
              <w:jc w:val="center"/>
              <w:rPr>
                <w:rFonts w:cs="Arial"/>
                <w:b/>
                <w:bCs/>
                <w:sz w:val="20"/>
                <w:szCs w:val="20"/>
              </w:rPr>
            </w:pPr>
            <w:r>
              <w:rPr>
                <w:rFonts w:cs="Arial"/>
                <w:b/>
                <w:bCs/>
                <w:sz w:val="20"/>
                <w:szCs w:val="20"/>
              </w:rPr>
              <w:t>Classificação da Variável</w:t>
            </w:r>
          </w:p>
        </w:tc>
        <w:tc>
          <w:tcPr>
            <w:tcW w:w="2269" w:type="dxa"/>
            <w:tcBorders>
              <w:top w:val="single" w:sz="4" w:space="0" w:color="7F7F7F"/>
              <w:left w:val="nil"/>
              <w:bottom w:val="single" w:sz="4" w:space="0" w:color="7F7F7F"/>
              <w:right w:val="nil"/>
            </w:tcBorders>
            <w:vAlign w:val="center"/>
            <w:hideMark/>
          </w:tcPr>
          <w:p w14:paraId="667D7ACF" w14:textId="77777777" w:rsidR="00FB69AC" w:rsidRDefault="00FB69AC">
            <w:pPr>
              <w:spacing w:before="120"/>
              <w:jc w:val="center"/>
              <w:rPr>
                <w:rFonts w:cs="Arial"/>
                <w:b/>
                <w:bCs/>
                <w:sz w:val="20"/>
                <w:szCs w:val="20"/>
              </w:rPr>
            </w:pPr>
            <w:r>
              <w:rPr>
                <w:rFonts w:cs="Arial"/>
                <w:b/>
                <w:bCs/>
                <w:sz w:val="20"/>
                <w:szCs w:val="20"/>
              </w:rPr>
              <w:t>Fundamentação Teórica</w:t>
            </w:r>
          </w:p>
        </w:tc>
        <w:tc>
          <w:tcPr>
            <w:tcW w:w="1137" w:type="dxa"/>
            <w:tcBorders>
              <w:top w:val="single" w:sz="4" w:space="0" w:color="7F7F7F"/>
              <w:left w:val="nil"/>
              <w:bottom w:val="single" w:sz="4" w:space="0" w:color="7F7F7F"/>
              <w:right w:val="nil"/>
            </w:tcBorders>
            <w:vAlign w:val="center"/>
            <w:hideMark/>
          </w:tcPr>
          <w:p w14:paraId="76DD50F4" w14:textId="77777777" w:rsidR="00FB69AC" w:rsidRDefault="00FB69AC">
            <w:pPr>
              <w:spacing w:before="120"/>
              <w:jc w:val="center"/>
              <w:rPr>
                <w:rFonts w:cs="Arial"/>
                <w:b/>
                <w:bCs/>
                <w:sz w:val="20"/>
                <w:szCs w:val="20"/>
              </w:rPr>
            </w:pPr>
            <w:r>
              <w:rPr>
                <w:rFonts w:cs="Arial"/>
                <w:b/>
                <w:bCs/>
                <w:sz w:val="20"/>
                <w:szCs w:val="20"/>
              </w:rPr>
              <w:t>Fonte</w:t>
            </w:r>
          </w:p>
        </w:tc>
      </w:tr>
      <w:tr w:rsidR="00FB69AC" w14:paraId="124B028F" w14:textId="77777777" w:rsidTr="00152D03">
        <w:trPr>
          <w:cantSplit/>
          <w:trHeight w:val="1372"/>
        </w:trPr>
        <w:tc>
          <w:tcPr>
            <w:tcW w:w="994" w:type="dxa"/>
            <w:tcBorders>
              <w:top w:val="single" w:sz="4" w:space="0" w:color="7F7F7F"/>
              <w:left w:val="nil"/>
              <w:bottom w:val="single" w:sz="4" w:space="0" w:color="7F7F7F"/>
              <w:right w:val="nil"/>
            </w:tcBorders>
            <w:textDirection w:val="btLr"/>
            <w:vAlign w:val="center"/>
            <w:hideMark/>
          </w:tcPr>
          <w:p w14:paraId="4056A526" w14:textId="77777777" w:rsidR="00FB69AC" w:rsidRDefault="00FB69AC">
            <w:pPr>
              <w:spacing w:before="120"/>
              <w:ind w:left="113" w:right="113"/>
              <w:jc w:val="both"/>
              <w:rPr>
                <w:rFonts w:cs="Arial"/>
                <w:sz w:val="20"/>
                <w:szCs w:val="20"/>
              </w:rPr>
            </w:pPr>
            <w:r>
              <w:rPr>
                <w:rFonts w:cs="Arial"/>
                <w:sz w:val="20"/>
                <w:szCs w:val="20"/>
              </w:rPr>
              <w:t>Dependente</w:t>
            </w:r>
          </w:p>
        </w:tc>
        <w:tc>
          <w:tcPr>
            <w:tcW w:w="1416" w:type="dxa"/>
            <w:tcBorders>
              <w:top w:val="single" w:sz="4" w:space="0" w:color="7F7F7F"/>
              <w:left w:val="nil"/>
              <w:bottom w:val="single" w:sz="4" w:space="0" w:color="7F7F7F"/>
              <w:right w:val="nil"/>
            </w:tcBorders>
            <w:vAlign w:val="center"/>
            <w:hideMark/>
          </w:tcPr>
          <w:p w14:paraId="570A772C" w14:textId="77777777" w:rsidR="00FB69AC" w:rsidRDefault="00FB69AC">
            <w:pPr>
              <w:spacing w:before="120"/>
              <w:jc w:val="both"/>
              <w:rPr>
                <w:rFonts w:cs="Arial"/>
                <w:sz w:val="20"/>
                <w:szCs w:val="20"/>
              </w:rPr>
            </w:pPr>
            <w:r>
              <w:rPr>
                <w:rFonts w:cs="Arial"/>
                <w:sz w:val="20"/>
                <w:szCs w:val="20"/>
              </w:rPr>
              <w:t>DAPJ</w:t>
            </w:r>
          </w:p>
          <w:p w14:paraId="478AC10E" w14:textId="77777777" w:rsidR="00FB69AC" w:rsidRDefault="00FB69AC">
            <w:pPr>
              <w:spacing w:before="120"/>
              <w:jc w:val="both"/>
              <w:rPr>
                <w:rFonts w:cs="Arial"/>
                <w:sz w:val="20"/>
                <w:szCs w:val="20"/>
              </w:rPr>
            </w:pPr>
            <w:r>
              <w:rPr>
                <w:rFonts w:cs="Arial"/>
                <w:sz w:val="16"/>
                <w:szCs w:val="16"/>
              </w:rPr>
              <w:t>(Declaração de aptidão ao Pronaf)</w:t>
            </w:r>
          </w:p>
        </w:tc>
        <w:tc>
          <w:tcPr>
            <w:tcW w:w="2270" w:type="dxa"/>
            <w:tcBorders>
              <w:top w:val="single" w:sz="4" w:space="0" w:color="7F7F7F"/>
              <w:left w:val="nil"/>
              <w:bottom w:val="single" w:sz="4" w:space="0" w:color="7F7F7F"/>
              <w:right w:val="nil"/>
            </w:tcBorders>
            <w:noWrap/>
            <w:vAlign w:val="center"/>
            <w:hideMark/>
          </w:tcPr>
          <w:p w14:paraId="311D0968" w14:textId="77777777" w:rsidR="00FB69AC" w:rsidRDefault="00FB69AC">
            <w:pPr>
              <w:spacing w:before="120"/>
              <w:jc w:val="center"/>
              <w:rPr>
                <w:rFonts w:cs="Arial"/>
                <w:b/>
                <w:bCs/>
                <w:sz w:val="20"/>
                <w:szCs w:val="20"/>
              </w:rPr>
            </w:pPr>
            <w:r>
              <w:rPr>
                <w:rFonts w:cs="Arial"/>
                <w:sz w:val="20"/>
                <w:szCs w:val="20"/>
              </w:rPr>
              <w:t>O município possui DAP Jurídica (1); não possui DAP Jurídica (0).</w:t>
            </w:r>
          </w:p>
        </w:tc>
        <w:tc>
          <w:tcPr>
            <w:tcW w:w="1559" w:type="dxa"/>
            <w:tcBorders>
              <w:top w:val="single" w:sz="4" w:space="0" w:color="7F7F7F"/>
              <w:left w:val="nil"/>
              <w:bottom w:val="single" w:sz="4" w:space="0" w:color="7F7F7F"/>
              <w:right w:val="nil"/>
            </w:tcBorders>
            <w:vAlign w:val="center"/>
            <w:hideMark/>
          </w:tcPr>
          <w:p w14:paraId="41FEB405" w14:textId="77777777" w:rsidR="00FB69AC" w:rsidRDefault="00FB69AC">
            <w:pPr>
              <w:spacing w:before="120"/>
              <w:jc w:val="center"/>
              <w:rPr>
                <w:rFonts w:cs="Arial"/>
                <w:i/>
                <w:iCs/>
                <w:sz w:val="20"/>
                <w:szCs w:val="20"/>
              </w:rPr>
            </w:pPr>
            <w:r>
              <w:rPr>
                <w:rFonts w:cs="Arial"/>
                <w:i/>
                <w:iCs/>
                <w:sz w:val="20"/>
                <w:szCs w:val="20"/>
              </w:rPr>
              <w:t>Categórica</w:t>
            </w:r>
          </w:p>
          <w:p w14:paraId="634D0A77" w14:textId="77777777" w:rsidR="00FB69AC" w:rsidRDefault="00FB69AC">
            <w:pPr>
              <w:spacing w:before="120"/>
              <w:jc w:val="center"/>
              <w:rPr>
                <w:rFonts w:cs="Arial"/>
                <w:sz w:val="20"/>
                <w:szCs w:val="20"/>
              </w:rPr>
            </w:pPr>
            <w:r>
              <w:rPr>
                <w:rFonts w:cs="Arial"/>
                <w:i/>
                <w:iCs/>
                <w:sz w:val="20"/>
                <w:szCs w:val="20"/>
              </w:rPr>
              <w:t>Dummy</w:t>
            </w:r>
          </w:p>
        </w:tc>
        <w:tc>
          <w:tcPr>
            <w:tcW w:w="2269" w:type="dxa"/>
            <w:tcBorders>
              <w:top w:val="single" w:sz="4" w:space="0" w:color="7F7F7F"/>
              <w:left w:val="nil"/>
              <w:bottom w:val="single" w:sz="4" w:space="0" w:color="7F7F7F"/>
              <w:right w:val="nil"/>
            </w:tcBorders>
            <w:vAlign w:val="center"/>
            <w:hideMark/>
          </w:tcPr>
          <w:p w14:paraId="1D977197" w14:textId="77777777" w:rsidR="00FB69AC" w:rsidRDefault="00FB69AC">
            <w:pPr>
              <w:spacing w:before="120"/>
              <w:jc w:val="both"/>
              <w:rPr>
                <w:rFonts w:cs="Arial"/>
                <w:sz w:val="20"/>
                <w:szCs w:val="20"/>
              </w:rPr>
            </w:pPr>
            <w:r>
              <w:rPr>
                <w:rFonts w:cs="Arial"/>
                <w:sz w:val="20"/>
                <w:szCs w:val="20"/>
              </w:rPr>
              <w:t>Rios; Carvalho (2007); Oliveira et al., (2013); Costa; Junior; Silva (2015); Cunha, Freitas e Salgado (2017)</w:t>
            </w:r>
          </w:p>
        </w:tc>
        <w:tc>
          <w:tcPr>
            <w:tcW w:w="1137" w:type="dxa"/>
            <w:tcBorders>
              <w:top w:val="single" w:sz="4" w:space="0" w:color="7F7F7F"/>
              <w:left w:val="nil"/>
              <w:bottom w:val="single" w:sz="4" w:space="0" w:color="7F7F7F"/>
              <w:right w:val="nil"/>
            </w:tcBorders>
            <w:vAlign w:val="center"/>
            <w:hideMark/>
          </w:tcPr>
          <w:p w14:paraId="55ED7915" w14:textId="77777777" w:rsidR="00FB69AC" w:rsidRDefault="00FB69AC">
            <w:pPr>
              <w:spacing w:before="120"/>
              <w:jc w:val="both"/>
              <w:rPr>
                <w:rFonts w:cs="Arial"/>
                <w:sz w:val="20"/>
                <w:szCs w:val="20"/>
              </w:rPr>
            </w:pPr>
            <w:r>
              <w:rPr>
                <w:rFonts w:cs="Arial"/>
                <w:sz w:val="20"/>
                <w:szCs w:val="20"/>
              </w:rPr>
              <w:t>Sidra IBGE</w:t>
            </w:r>
          </w:p>
        </w:tc>
      </w:tr>
      <w:tr w:rsidR="00FB69AC" w14:paraId="176485E3" w14:textId="77777777" w:rsidTr="00152D03">
        <w:trPr>
          <w:cantSplit/>
          <w:trHeight w:val="1134"/>
        </w:trPr>
        <w:tc>
          <w:tcPr>
            <w:tcW w:w="994" w:type="dxa"/>
            <w:tcBorders>
              <w:top w:val="nil"/>
              <w:left w:val="nil"/>
              <w:bottom w:val="nil"/>
              <w:right w:val="nil"/>
            </w:tcBorders>
            <w:textDirection w:val="btLr"/>
            <w:vAlign w:val="center"/>
            <w:hideMark/>
          </w:tcPr>
          <w:p w14:paraId="62ADD8F3" w14:textId="77777777" w:rsidR="00FB69AC" w:rsidRDefault="00FB69AC">
            <w:pPr>
              <w:spacing w:before="120"/>
              <w:ind w:left="113" w:right="113"/>
              <w:jc w:val="both"/>
              <w:rPr>
                <w:rFonts w:cs="Arial"/>
                <w:sz w:val="20"/>
                <w:szCs w:val="20"/>
              </w:rPr>
            </w:pPr>
            <w:r>
              <w:rPr>
                <w:rFonts w:cs="Arial"/>
                <w:sz w:val="20"/>
                <w:szCs w:val="20"/>
              </w:rPr>
              <w:t>Independente (de interesse)</w:t>
            </w:r>
          </w:p>
        </w:tc>
        <w:tc>
          <w:tcPr>
            <w:tcW w:w="1416" w:type="dxa"/>
            <w:tcBorders>
              <w:top w:val="nil"/>
              <w:left w:val="nil"/>
              <w:bottom w:val="nil"/>
              <w:right w:val="nil"/>
            </w:tcBorders>
            <w:vAlign w:val="center"/>
            <w:hideMark/>
          </w:tcPr>
          <w:p w14:paraId="4268DA8A" w14:textId="77777777" w:rsidR="00FB69AC" w:rsidRDefault="00FB69AC">
            <w:pPr>
              <w:spacing w:before="120"/>
              <w:jc w:val="both"/>
              <w:rPr>
                <w:rFonts w:cs="Arial"/>
                <w:sz w:val="20"/>
                <w:szCs w:val="20"/>
              </w:rPr>
            </w:pPr>
            <w:r>
              <w:rPr>
                <w:rFonts w:cs="Arial"/>
                <w:sz w:val="20"/>
                <w:szCs w:val="20"/>
              </w:rPr>
              <w:t>PNAE</w:t>
            </w:r>
          </w:p>
          <w:p w14:paraId="4B94A810" w14:textId="77777777" w:rsidR="00FB69AC" w:rsidRDefault="00FB69AC">
            <w:pPr>
              <w:spacing w:before="120"/>
              <w:jc w:val="both"/>
              <w:rPr>
                <w:rFonts w:cs="Arial"/>
                <w:sz w:val="20"/>
                <w:szCs w:val="20"/>
              </w:rPr>
            </w:pPr>
            <w:r>
              <w:rPr>
                <w:rFonts w:cs="Arial"/>
                <w:sz w:val="16"/>
                <w:szCs w:val="16"/>
              </w:rPr>
              <w:t>(Programa Nacional de Alimentação Escolar)</w:t>
            </w:r>
          </w:p>
        </w:tc>
        <w:tc>
          <w:tcPr>
            <w:tcW w:w="2270" w:type="dxa"/>
            <w:tcBorders>
              <w:top w:val="nil"/>
              <w:left w:val="nil"/>
              <w:bottom w:val="nil"/>
              <w:right w:val="nil"/>
            </w:tcBorders>
            <w:noWrap/>
            <w:vAlign w:val="center"/>
            <w:hideMark/>
          </w:tcPr>
          <w:p w14:paraId="2100560A" w14:textId="77777777" w:rsidR="00FB69AC" w:rsidRDefault="00FB69AC">
            <w:pPr>
              <w:spacing w:before="120"/>
              <w:jc w:val="center"/>
              <w:rPr>
                <w:rFonts w:cs="Arial"/>
                <w:b/>
                <w:bCs/>
                <w:sz w:val="20"/>
                <w:szCs w:val="20"/>
              </w:rPr>
            </w:pPr>
            <w:r>
              <w:rPr>
                <w:rFonts w:cs="Arial"/>
                <w:sz w:val="20"/>
                <w:szCs w:val="20"/>
              </w:rPr>
              <w:t>Percentual da aquisição de alimentos da agricultura familiar no município</w:t>
            </w:r>
          </w:p>
        </w:tc>
        <w:tc>
          <w:tcPr>
            <w:tcW w:w="1559" w:type="dxa"/>
            <w:tcBorders>
              <w:top w:val="nil"/>
              <w:left w:val="nil"/>
              <w:bottom w:val="nil"/>
              <w:right w:val="nil"/>
            </w:tcBorders>
            <w:vAlign w:val="center"/>
            <w:hideMark/>
          </w:tcPr>
          <w:p w14:paraId="24F18A83" w14:textId="77777777" w:rsidR="00FB69AC" w:rsidRDefault="00FB69AC">
            <w:pPr>
              <w:spacing w:before="120"/>
              <w:jc w:val="center"/>
              <w:rPr>
                <w:rFonts w:cs="Arial"/>
                <w:sz w:val="20"/>
                <w:szCs w:val="20"/>
              </w:rPr>
            </w:pPr>
            <w:r>
              <w:rPr>
                <w:rFonts w:cs="Arial"/>
                <w:sz w:val="20"/>
                <w:szCs w:val="20"/>
              </w:rPr>
              <w:t>Contínua</w:t>
            </w:r>
          </w:p>
        </w:tc>
        <w:tc>
          <w:tcPr>
            <w:tcW w:w="2269" w:type="dxa"/>
            <w:tcBorders>
              <w:top w:val="nil"/>
              <w:left w:val="nil"/>
              <w:bottom w:val="nil"/>
              <w:right w:val="nil"/>
            </w:tcBorders>
            <w:vAlign w:val="center"/>
            <w:hideMark/>
          </w:tcPr>
          <w:p w14:paraId="615B8500" w14:textId="77777777" w:rsidR="00FB69AC" w:rsidRDefault="00FB69AC">
            <w:pPr>
              <w:spacing w:before="120"/>
              <w:jc w:val="both"/>
              <w:rPr>
                <w:rFonts w:cs="Arial"/>
                <w:sz w:val="20"/>
                <w:szCs w:val="20"/>
              </w:rPr>
            </w:pPr>
            <w:r>
              <w:rPr>
                <w:rFonts w:cs="Arial"/>
                <w:sz w:val="20"/>
                <w:szCs w:val="20"/>
              </w:rPr>
              <w:t>Ferigollo et al., (2017); Junqueira; Lima (2008); Esquerdo e Bergamasco (2014); Toian; Breintenbach (2020)</w:t>
            </w:r>
          </w:p>
        </w:tc>
        <w:tc>
          <w:tcPr>
            <w:tcW w:w="1137" w:type="dxa"/>
            <w:tcBorders>
              <w:top w:val="nil"/>
              <w:left w:val="nil"/>
              <w:bottom w:val="nil"/>
              <w:right w:val="nil"/>
            </w:tcBorders>
            <w:vAlign w:val="center"/>
            <w:hideMark/>
          </w:tcPr>
          <w:p w14:paraId="0F0A40CC" w14:textId="77777777" w:rsidR="00FB69AC" w:rsidRDefault="00FB69AC">
            <w:pPr>
              <w:spacing w:before="120"/>
              <w:jc w:val="both"/>
              <w:rPr>
                <w:rFonts w:cs="Arial"/>
                <w:sz w:val="20"/>
                <w:szCs w:val="20"/>
              </w:rPr>
            </w:pPr>
            <w:r>
              <w:rPr>
                <w:rFonts w:cs="Arial"/>
                <w:sz w:val="20"/>
                <w:szCs w:val="20"/>
              </w:rPr>
              <w:t>FNDE</w:t>
            </w:r>
          </w:p>
        </w:tc>
      </w:tr>
      <w:tr w:rsidR="00FB69AC" w14:paraId="3003EB76" w14:textId="77777777" w:rsidTr="00152D03">
        <w:trPr>
          <w:trHeight w:val="792"/>
        </w:trPr>
        <w:tc>
          <w:tcPr>
            <w:tcW w:w="994" w:type="dxa"/>
            <w:vMerge w:val="restart"/>
            <w:tcBorders>
              <w:top w:val="single" w:sz="4" w:space="0" w:color="7F7F7F"/>
              <w:left w:val="nil"/>
              <w:bottom w:val="single" w:sz="4" w:space="0" w:color="7F7F7F"/>
              <w:right w:val="nil"/>
            </w:tcBorders>
            <w:textDirection w:val="btLr"/>
            <w:vAlign w:val="center"/>
            <w:hideMark/>
          </w:tcPr>
          <w:p w14:paraId="06711CA7" w14:textId="77777777" w:rsidR="00FB69AC" w:rsidRDefault="00FB69AC">
            <w:pPr>
              <w:spacing w:before="120"/>
              <w:ind w:left="113" w:right="113"/>
              <w:jc w:val="center"/>
              <w:rPr>
                <w:rFonts w:cs="Arial"/>
                <w:sz w:val="20"/>
                <w:szCs w:val="20"/>
              </w:rPr>
            </w:pPr>
            <w:r>
              <w:rPr>
                <w:rFonts w:cs="Arial"/>
                <w:sz w:val="20"/>
                <w:szCs w:val="20"/>
              </w:rPr>
              <w:t>Independente (de controle)</w:t>
            </w:r>
          </w:p>
        </w:tc>
        <w:tc>
          <w:tcPr>
            <w:tcW w:w="1416" w:type="dxa"/>
            <w:tcBorders>
              <w:top w:val="single" w:sz="4" w:space="0" w:color="7F7F7F"/>
              <w:left w:val="nil"/>
              <w:bottom w:val="single" w:sz="4" w:space="0" w:color="7F7F7F"/>
              <w:right w:val="nil"/>
            </w:tcBorders>
            <w:vAlign w:val="center"/>
            <w:hideMark/>
          </w:tcPr>
          <w:p w14:paraId="3C64D536" w14:textId="77777777" w:rsidR="00FB69AC" w:rsidRDefault="00FB69AC">
            <w:pPr>
              <w:spacing w:before="120"/>
              <w:jc w:val="both"/>
              <w:rPr>
                <w:rFonts w:cs="Arial"/>
                <w:sz w:val="20"/>
                <w:szCs w:val="20"/>
              </w:rPr>
            </w:pPr>
            <w:r>
              <w:rPr>
                <w:rFonts w:cs="Arial"/>
                <w:sz w:val="20"/>
                <w:szCs w:val="20"/>
              </w:rPr>
              <w:t>ESTAF</w:t>
            </w:r>
          </w:p>
          <w:p w14:paraId="03544858" w14:textId="77777777" w:rsidR="00FB69AC" w:rsidRDefault="00FB69AC">
            <w:pPr>
              <w:spacing w:before="120"/>
              <w:jc w:val="both"/>
              <w:rPr>
                <w:rFonts w:cs="Arial"/>
                <w:sz w:val="20"/>
                <w:szCs w:val="20"/>
              </w:rPr>
            </w:pPr>
            <w:r>
              <w:rPr>
                <w:rFonts w:cs="Arial"/>
                <w:sz w:val="16"/>
                <w:szCs w:val="16"/>
              </w:rPr>
              <w:t>(Estabelecimentos de Agricultura Familiar)</w:t>
            </w:r>
          </w:p>
        </w:tc>
        <w:tc>
          <w:tcPr>
            <w:tcW w:w="2270" w:type="dxa"/>
            <w:tcBorders>
              <w:top w:val="single" w:sz="4" w:space="0" w:color="7F7F7F"/>
              <w:left w:val="nil"/>
              <w:bottom w:val="single" w:sz="4" w:space="0" w:color="7F7F7F"/>
              <w:right w:val="nil"/>
            </w:tcBorders>
            <w:vAlign w:val="center"/>
            <w:hideMark/>
          </w:tcPr>
          <w:p w14:paraId="536815A2" w14:textId="77777777" w:rsidR="00FB69AC" w:rsidRDefault="00FB69AC">
            <w:pPr>
              <w:spacing w:before="120"/>
              <w:jc w:val="center"/>
              <w:rPr>
                <w:rFonts w:cs="Arial"/>
                <w:b/>
                <w:bCs/>
                <w:sz w:val="20"/>
                <w:szCs w:val="20"/>
              </w:rPr>
            </w:pPr>
            <w:r>
              <w:rPr>
                <w:rFonts w:cs="Arial"/>
                <w:sz w:val="20"/>
                <w:szCs w:val="20"/>
              </w:rPr>
              <w:t>Número de estabelecimentos da agricultura familiar no município que atendem às regras atuais determinada pelo decreto nº 9.064/2017</w:t>
            </w:r>
          </w:p>
        </w:tc>
        <w:tc>
          <w:tcPr>
            <w:tcW w:w="1559" w:type="dxa"/>
            <w:tcBorders>
              <w:top w:val="single" w:sz="4" w:space="0" w:color="7F7F7F"/>
              <w:left w:val="nil"/>
              <w:bottom w:val="single" w:sz="4" w:space="0" w:color="7F7F7F"/>
              <w:right w:val="nil"/>
            </w:tcBorders>
            <w:vAlign w:val="center"/>
            <w:hideMark/>
          </w:tcPr>
          <w:p w14:paraId="5B12D480" w14:textId="77777777" w:rsidR="00FB69AC" w:rsidRDefault="00FB69AC">
            <w:pPr>
              <w:spacing w:before="120"/>
              <w:jc w:val="center"/>
              <w:rPr>
                <w:rFonts w:cs="Arial"/>
                <w:sz w:val="20"/>
                <w:szCs w:val="20"/>
              </w:rPr>
            </w:pPr>
            <w:r>
              <w:rPr>
                <w:rFonts w:cs="Arial"/>
                <w:sz w:val="20"/>
                <w:szCs w:val="20"/>
              </w:rPr>
              <w:t>Discreta</w:t>
            </w:r>
          </w:p>
        </w:tc>
        <w:tc>
          <w:tcPr>
            <w:tcW w:w="2269" w:type="dxa"/>
            <w:tcBorders>
              <w:top w:val="single" w:sz="4" w:space="0" w:color="7F7F7F"/>
              <w:left w:val="nil"/>
              <w:bottom w:val="single" w:sz="4" w:space="0" w:color="7F7F7F"/>
              <w:right w:val="nil"/>
            </w:tcBorders>
            <w:vAlign w:val="center"/>
            <w:hideMark/>
          </w:tcPr>
          <w:p w14:paraId="7C6F0B83" w14:textId="77777777" w:rsidR="00FB69AC" w:rsidRDefault="00FB69AC">
            <w:pPr>
              <w:spacing w:before="120"/>
              <w:jc w:val="both"/>
              <w:rPr>
                <w:rFonts w:cs="Arial"/>
                <w:sz w:val="20"/>
                <w:szCs w:val="20"/>
              </w:rPr>
            </w:pPr>
            <w:r>
              <w:rPr>
                <w:rFonts w:cs="Arial"/>
                <w:sz w:val="20"/>
                <w:szCs w:val="20"/>
              </w:rPr>
              <w:t>Buainain; Souza Filho (2006)</w:t>
            </w:r>
          </w:p>
        </w:tc>
        <w:tc>
          <w:tcPr>
            <w:tcW w:w="1137" w:type="dxa"/>
            <w:tcBorders>
              <w:top w:val="single" w:sz="4" w:space="0" w:color="7F7F7F"/>
              <w:left w:val="nil"/>
              <w:bottom w:val="single" w:sz="4" w:space="0" w:color="7F7F7F"/>
              <w:right w:val="nil"/>
            </w:tcBorders>
            <w:vAlign w:val="center"/>
            <w:hideMark/>
          </w:tcPr>
          <w:p w14:paraId="4B1998B3" w14:textId="77777777" w:rsidR="00FB69AC" w:rsidRDefault="00FB69AC">
            <w:pPr>
              <w:spacing w:before="120"/>
              <w:jc w:val="both"/>
              <w:rPr>
                <w:rFonts w:cs="Arial"/>
                <w:sz w:val="20"/>
                <w:szCs w:val="20"/>
              </w:rPr>
            </w:pPr>
            <w:r>
              <w:rPr>
                <w:rFonts w:cs="Arial"/>
                <w:sz w:val="20"/>
                <w:szCs w:val="20"/>
              </w:rPr>
              <w:t>Sidra IBGE</w:t>
            </w:r>
          </w:p>
        </w:tc>
      </w:tr>
      <w:tr w:rsidR="00FB69AC" w14:paraId="40081232" w14:textId="77777777" w:rsidTr="00152D03">
        <w:trPr>
          <w:trHeight w:val="792"/>
        </w:trPr>
        <w:tc>
          <w:tcPr>
            <w:tcW w:w="994" w:type="dxa"/>
            <w:vMerge/>
            <w:tcBorders>
              <w:top w:val="single" w:sz="4" w:space="0" w:color="7F7F7F"/>
              <w:left w:val="nil"/>
              <w:bottom w:val="single" w:sz="4" w:space="0" w:color="7F7F7F"/>
              <w:right w:val="nil"/>
            </w:tcBorders>
            <w:vAlign w:val="center"/>
            <w:hideMark/>
          </w:tcPr>
          <w:p w14:paraId="216CDEF1" w14:textId="77777777" w:rsidR="00FB69AC" w:rsidRDefault="00FB69AC">
            <w:pPr>
              <w:rPr>
                <w:rFonts w:cs="Arial"/>
                <w:sz w:val="20"/>
                <w:szCs w:val="20"/>
              </w:rPr>
            </w:pPr>
          </w:p>
        </w:tc>
        <w:tc>
          <w:tcPr>
            <w:tcW w:w="1416" w:type="dxa"/>
            <w:tcBorders>
              <w:top w:val="single" w:sz="4" w:space="0" w:color="7F7F7F"/>
              <w:left w:val="nil"/>
              <w:bottom w:val="single" w:sz="4" w:space="0" w:color="7F7F7F"/>
              <w:right w:val="nil"/>
            </w:tcBorders>
            <w:vAlign w:val="center"/>
            <w:hideMark/>
          </w:tcPr>
          <w:p w14:paraId="68B18B8E" w14:textId="77777777" w:rsidR="00FB69AC" w:rsidRDefault="00FB69AC">
            <w:pPr>
              <w:spacing w:before="120"/>
              <w:jc w:val="both"/>
              <w:rPr>
                <w:rFonts w:cs="Arial"/>
                <w:sz w:val="20"/>
                <w:szCs w:val="20"/>
              </w:rPr>
            </w:pPr>
            <w:r>
              <w:rPr>
                <w:rFonts w:cs="Arial"/>
                <w:sz w:val="20"/>
                <w:szCs w:val="20"/>
              </w:rPr>
              <w:t>ASSIGOV</w:t>
            </w:r>
          </w:p>
          <w:p w14:paraId="7E43B5C7" w14:textId="77777777" w:rsidR="00FB69AC" w:rsidRDefault="00FB69AC">
            <w:pPr>
              <w:spacing w:before="120"/>
              <w:jc w:val="both"/>
              <w:rPr>
                <w:rFonts w:cs="Arial"/>
                <w:sz w:val="20"/>
                <w:szCs w:val="20"/>
              </w:rPr>
            </w:pPr>
            <w:r>
              <w:rPr>
                <w:rFonts w:cs="Arial"/>
                <w:sz w:val="16"/>
                <w:szCs w:val="16"/>
              </w:rPr>
              <w:t>(Assistência Governamental)</w:t>
            </w:r>
          </w:p>
        </w:tc>
        <w:tc>
          <w:tcPr>
            <w:tcW w:w="2270" w:type="dxa"/>
            <w:tcBorders>
              <w:top w:val="single" w:sz="4" w:space="0" w:color="7F7F7F"/>
              <w:left w:val="nil"/>
              <w:bottom w:val="single" w:sz="4" w:space="0" w:color="7F7F7F"/>
              <w:right w:val="nil"/>
            </w:tcBorders>
            <w:vAlign w:val="center"/>
            <w:hideMark/>
          </w:tcPr>
          <w:p w14:paraId="06A1826A" w14:textId="77777777" w:rsidR="00FB69AC" w:rsidRDefault="00FB69AC">
            <w:pPr>
              <w:spacing w:before="120"/>
              <w:jc w:val="center"/>
              <w:rPr>
                <w:rFonts w:cs="Arial"/>
                <w:b/>
                <w:bCs/>
                <w:sz w:val="20"/>
                <w:szCs w:val="20"/>
              </w:rPr>
            </w:pPr>
            <w:r>
              <w:rPr>
                <w:rFonts w:cs="Arial"/>
                <w:sz w:val="20"/>
                <w:szCs w:val="20"/>
              </w:rPr>
              <w:t xml:space="preserve">Número de estabelecimentos no município que receberam Assistência </w:t>
            </w:r>
            <w:r>
              <w:rPr>
                <w:rFonts w:cs="Arial"/>
                <w:sz w:val="20"/>
                <w:szCs w:val="20"/>
              </w:rPr>
              <w:lastRenderedPageBreak/>
              <w:t>por órgão governamental</w:t>
            </w:r>
          </w:p>
        </w:tc>
        <w:tc>
          <w:tcPr>
            <w:tcW w:w="1559" w:type="dxa"/>
            <w:tcBorders>
              <w:top w:val="single" w:sz="4" w:space="0" w:color="7F7F7F"/>
              <w:left w:val="nil"/>
              <w:bottom w:val="single" w:sz="4" w:space="0" w:color="7F7F7F"/>
              <w:right w:val="nil"/>
            </w:tcBorders>
            <w:vAlign w:val="center"/>
            <w:hideMark/>
          </w:tcPr>
          <w:p w14:paraId="7D14DE5E" w14:textId="77777777" w:rsidR="00FB69AC" w:rsidRDefault="00FB69AC">
            <w:pPr>
              <w:spacing w:before="120"/>
              <w:jc w:val="center"/>
              <w:rPr>
                <w:rFonts w:cs="Arial"/>
                <w:sz w:val="20"/>
                <w:szCs w:val="20"/>
              </w:rPr>
            </w:pPr>
            <w:r>
              <w:rPr>
                <w:rFonts w:cs="Arial"/>
                <w:sz w:val="20"/>
                <w:szCs w:val="20"/>
              </w:rPr>
              <w:lastRenderedPageBreak/>
              <w:t>Discreta</w:t>
            </w:r>
          </w:p>
        </w:tc>
        <w:tc>
          <w:tcPr>
            <w:tcW w:w="2269" w:type="dxa"/>
            <w:tcBorders>
              <w:top w:val="single" w:sz="4" w:space="0" w:color="7F7F7F"/>
              <w:left w:val="nil"/>
              <w:bottom w:val="single" w:sz="4" w:space="0" w:color="7F7F7F"/>
              <w:right w:val="nil"/>
            </w:tcBorders>
            <w:vAlign w:val="center"/>
            <w:hideMark/>
          </w:tcPr>
          <w:p w14:paraId="24A3AF64" w14:textId="77777777" w:rsidR="00FB69AC" w:rsidRDefault="00FB69AC">
            <w:pPr>
              <w:spacing w:before="120"/>
              <w:jc w:val="both"/>
              <w:rPr>
                <w:rFonts w:cs="Arial"/>
                <w:sz w:val="20"/>
                <w:szCs w:val="20"/>
              </w:rPr>
            </w:pPr>
            <w:r>
              <w:rPr>
                <w:rFonts w:cs="Arial"/>
                <w:sz w:val="20"/>
                <w:szCs w:val="20"/>
              </w:rPr>
              <w:t>Buainain; Souza Filho (2006); Santos, Ferreira e Campos (2019)</w:t>
            </w:r>
          </w:p>
        </w:tc>
        <w:tc>
          <w:tcPr>
            <w:tcW w:w="1137" w:type="dxa"/>
            <w:tcBorders>
              <w:top w:val="single" w:sz="4" w:space="0" w:color="7F7F7F"/>
              <w:left w:val="nil"/>
              <w:bottom w:val="single" w:sz="4" w:space="0" w:color="7F7F7F"/>
              <w:right w:val="nil"/>
            </w:tcBorders>
            <w:vAlign w:val="center"/>
            <w:hideMark/>
          </w:tcPr>
          <w:p w14:paraId="368C50E4" w14:textId="77777777" w:rsidR="00FB69AC" w:rsidRDefault="00FB69AC">
            <w:pPr>
              <w:spacing w:before="120"/>
              <w:jc w:val="both"/>
              <w:rPr>
                <w:rFonts w:cs="Arial"/>
                <w:sz w:val="20"/>
                <w:szCs w:val="20"/>
              </w:rPr>
            </w:pPr>
            <w:r>
              <w:rPr>
                <w:rFonts w:cs="Arial"/>
                <w:sz w:val="20"/>
                <w:szCs w:val="20"/>
              </w:rPr>
              <w:t>Sidra IBGE</w:t>
            </w:r>
          </w:p>
        </w:tc>
      </w:tr>
      <w:tr w:rsidR="00FB69AC" w14:paraId="45096CA4" w14:textId="77777777" w:rsidTr="00152D03">
        <w:trPr>
          <w:trHeight w:val="288"/>
        </w:trPr>
        <w:tc>
          <w:tcPr>
            <w:tcW w:w="994" w:type="dxa"/>
            <w:vMerge/>
            <w:tcBorders>
              <w:top w:val="single" w:sz="4" w:space="0" w:color="7F7F7F"/>
              <w:left w:val="nil"/>
              <w:bottom w:val="single" w:sz="4" w:space="0" w:color="7F7F7F"/>
              <w:right w:val="nil"/>
            </w:tcBorders>
            <w:vAlign w:val="center"/>
            <w:hideMark/>
          </w:tcPr>
          <w:p w14:paraId="10AEDA10" w14:textId="77777777" w:rsidR="00FB69AC" w:rsidRDefault="00FB69AC">
            <w:pPr>
              <w:rPr>
                <w:rFonts w:cs="Arial"/>
                <w:sz w:val="20"/>
                <w:szCs w:val="20"/>
              </w:rPr>
            </w:pPr>
          </w:p>
        </w:tc>
        <w:tc>
          <w:tcPr>
            <w:tcW w:w="1416" w:type="dxa"/>
            <w:tcBorders>
              <w:top w:val="single" w:sz="4" w:space="0" w:color="7F7F7F"/>
              <w:left w:val="nil"/>
              <w:bottom w:val="single" w:sz="4" w:space="0" w:color="948A54" w:themeColor="background2" w:themeShade="80"/>
              <w:right w:val="nil"/>
            </w:tcBorders>
            <w:vAlign w:val="center"/>
            <w:hideMark/>
          </w:tcPr>
          <w:p w14:paraId="1EF05FBF" w14:textId="77777777" w:rsidR="00FB69AC" w:rsidRDefault="00FB69AC">
            <w:pPr>
              <w:spacing w:before="120"/>
              <w:jc w:val="both"/>
              <w:rPr>
                <w:rFonts w:cs="Arial"/>
                <w:sz w:val="20"/>
                <w:szCs w:val="20"/>
              </w:rPr>
            </w:pPr>
            <w:r>
              <w:rPr>
                <w:rFonts w:cs="Arial"/>
                <w:sz w:val="20"/>
                <w:szCs w:val="20"/>
              </w:rPr>
              <w:t>VALORAD</w:t>
            </w:r>
          </w:p>
          <w:p w14:paraId="0695E441" w14:textId="77777777" w:rsidR="00FB69AC" w:rsidRDefault="00FB69AC">
            <w:pPr>
              <w:spacing w:before="240"/>
              <w:jc w:val="both"/>
              <w:rPr>
                <w:rFonts w:cs="Arial"/>
                <w:sz w:val="16"/>
                <w:szCs w:val="16"/>
              </w:rPr>
            </w:pPr>
            <w:r>
              <w:rPr>
                <w:rFonts w:cs="Arial"/>
                <w:sz w:val="16"/>
                <w:szCs w:val="16"/>
              </w:rPr>
              <w:t>(Valor adicional da agropecuária)</w:t>
            </w:r>
          </w:p>
        </w:tc>
        <w:tc>
          <w:tcPr>
            <w:tcW w:w="2270" w:type="dxa"/>
            <w:tcBorders>
              <w:top w:val="single" w:sz="4" w:space="0" w:color="7F7F7F"/>
              <w:left w:val="nil"/>
              <w:bottom w:val="single" w:sz="4" w:space="0" w:color="948A54" w:themeColor="background2" w:themeShade="80"/>
              <w:right w:val="nil"/>
            </w:tcBorders>
            <w:vAlign w:val="center"/>
            <w:hideMark/>
          </w:tcPr>
          <w:p w14:paraId="3F623820" w14:textId="77777777" w:rsidR="00FB69AC" w:rsidRDefault="00FB69AC">
            <w:pPr>
              <w:spacing w:before="120"/>
              <w:jc w:val="center"/>
              <w:rPr>
                <w:rFonts w:cs="Arial"/>
                <w:b/>
                <w:bCs/>
                <w:sz w:val="20"/>
                <w:szCs w:val="20"/>
              </w:rPr>
            </w:pPr>
            <w:r>
              <w:rPr>
                <w:rFonts w:cs="Arial"/>
                <w:sz w:val="20"/>
                <w:szCs w:val="20"/>
              </w:rPr>
              <w:t>Valor adicionado da Agropecuária no município</w:t>
            </w:r>
          </w:p>
        </w:tc>
        <w:tc>
          <w:tcPr>
            <w:tcW w:w="1559" w:type="dxa"/>
            <w:tcBorders>
              <w:top w:val="single" w:sz="4" w:space="0" w:color="7F7F7F"/>
              <w:left w:val="nil"/>
              <w:bottom w:val="single" w:sz="4" w:space="0" w:color="948A54" w:themeColor="background2" w:themeShade="80"/>
              <w:right w:val="nil"/>
            </w:tcBorders>
            <w:vAlign w:val="center"/>
            <w:hideMark/>
          </w:tcPr>
          <w:p w14:paraId="36100B67" w14:textId="77777777" w:rsidR="00FB69AC" w:rsidRDefault="00FB69AC">
            <w:pPr>
              <w:spacing w:before="120"/>
              <w:jc w:val="center"/>
              <w:rPr>
                <w:rFonts w:cs="Arial"/>
                <w:sz w:val="20"/>
                <w:szCs w:val="20"/>
              </w:rPr>
            </w:pPr>
            <w:r>
              <w:rPr>
                <w:rFonts w:cs="Arial"/>
                <w:sz w:val="20"/>
                <w:szCs w:val="20"/>
              </w:rPr>
              <w:t>Contínua</w:t>
            </w:r>
          </w:p>
        </w:tc>
        <w:tc>
          <w:tcPr>
            <w:tcW w:w="2269" w:type="dxa"/>
            <w:tcBorders>
              <w:top w:val="single" w:sz="4" w:space="0" w:color="7F7F7F"/>
              <w:left w:val="nil"/>
              <w:bottom w:val="single" w:sz="4" w:space="0" w:color="948A54" w:themeColor="background2" w:themeShade="80"/>
              <w:right w:val="nil"/>
            </w:tcBorders>
            <w:vAlign w:val="center"/>
            <w:hideMark/>
          </w:tcPr>
          <w:p w14:paraId="209237DA" w14:textId="77777777" w:rsidR="00FB69AC" w:rsidRDefault="00FB69AC">
            <w:pPr>
              <w:spacing w:before="120"/>
              <w:ind w:firstLine="708"/>
              <w:jc w:val="both"/>
              <w:rPr>
                <w:rFonts w:cs="Arial"/>
                <w:sz w:val="20"/>
                <w:szCs w:val="20"/>
              </w:rPr>
            </w:pPr>
            <w:r>
              <w:rPr>
                <w:rFonts w:cs="Arial"/>
                <w:sz w:val="20"/>
                <w:szCs w:val="20"/>
              </w:rPr>
              <w:t>-</w:t>
            </w:r>
          </w:p>
        </w:tc>
        <w:tc>
          <w:tcPr>
            <w:tcW w:w="1137" w:type="dxa"/>
            <w:tcBorders>
              <w:top w:val="single" w:sz="4" w:space="0" w:color="7F7F7F"/>
              <w:left w:val="nil"/>
              <w:bottom w:val="single" w:sz="4" w:space="0" w:color="948A54" w:themeColor="background2" w:themeShade="80"/>
              <w:right w:val="nil"/>
            </w:tcBorders>
            <w:vAlign w:val="center"/>
            <w:hideMark/>
          </w:tcPr>
          <w:p w14:paraId="247559F9" w14:textId="77777777" w:rsidR="00FB69AC" w:rsidRDefault="00FB69AC">
            <w:pPr>
              <w:spacing w:before="120"/>
              <w:jc w:val="both"/>
              <w:rPr>
                <w:rFonts w:cs="Arial"/>
                <w:sz w:val="20"/>
                <w:szCs w:val="20"/>
              </w:rPr>
            </w:pPr>
            <w:r>
              <w:rPr>
                <w:rFonts w:cs="Arial"/>
                <w:sz w:val="20"/>
                <w:szCs w:val="20"/>
              </w:rPr>
              <w:t>IMRS</w:t>
            </w:r>
          </w:p>
        </w:tc>
      </w:tr>
      <w:tr w:rsidR="00FB69AC" w14:paraId="1F7C6F90" w14:textId="77777777" w:rsidTr="00152D03">
        <w:trPr>
          <w:trHeight w:val="660"/>
        </w:trPr>
        <w:tc>
          <w:tcPr>
            <w:tcW w:w="994" w:type="dxa"/>
            <w:vMerge/>
            <w:tcBorders>
              <w:top w:val="single" w:sz="4" w:space="0" w:color="7F7F7F"/>
              <w:left w:val="nil"/>
              <w:bottom w:val="single" w:sz="4" w:space="0" w:color="7F7F7F"/>
              <w:right w:val="nil"/>
            </w:tcBorders>
            <w:vAlign w:val="center"/>
            <w:hideMark/>
          </w:tcPr>
          <w:p w14:paraId="1599987C" w14:textId="77777777" w:rsidR="00FB69AC" w:rsidRDefault="00FB69AC">
            <w:pPr>
              <w:rPr>
                <w:rFonts w:cs="Arial"/>
                <w:sz w:val="20"/>
                <w:szCs w:val="20"/>
              </w:rPr>
            </w:pPr>
          </w:p>
        </w:tc>
        <w:tc>
          <w:tcPr>
            <w:tcW w:w="1416" w:type="dxa"/>
            <w:tcBorders>
              <w:top w:val="single" w:sz="4" w:space="0" w:color="948A54" w:themeColor="background2" w:themeShade="80"/>
              <w:left w:val="nil"/>
              <w:bottom w:val="single" w:sz="4" w:space="0" w:color="7F7F7F"/>
              <w:right w:val="nil"/>
            </w:tcBorders>
            <w:vAlign w:val="center"/>
            <w:hideMark/>
          </w:tcPr>
          <w:p w14:paraId="407B9CC5" w14:textId="77777777" w:rsidR="00FB69AC" w:rsidRDefault="00FB69AC">
            <w:pPr>
              <w:spacing w:before="120"/>
              <w:jc w:val="both"/>
              <w:rPr>
                <w:rFonts w:cs="Arial"/>
                <w:sz w:val="20"/>
                <w:szCs w:val="20"/>
              </w:rPr>
            </w:pPr>
            <w:r>
              <w:rPr>
                <w:rFonts w:cs="Arial"/>
                <w:sz w:val="20"/>
                <w:szCs w:val="20"/>
              </w:rPr>
              <w:t>PRONAF</w:t>
            </w:r>
          </w:p>
          <w:p w14:paraId="613A1598" w14:textId="77777777" w:rsidR="00FB69AC" w:rsidRDefault="00FB69AC">
            <w:pPr>
              <w:spacing w:before="120"/>
              <w:jc w:val="both"/>
              <w:rPr>
                <w:rFonts w:cs="Arial"/>
                <w:sz w:val="20"/>
                <w:szCs w:val="20"/>
              </w:rPr>
            </w:pPr>
            <w:r>
              <w:rPr>
                <w:rFonts w:cs="Arial"/>
                <w:sz w:val="16"/>
                <w:szCs w:val="16"/>
              </w:rPr>
              <w:t>(Programa Nacional de Fortalecimento da Agricultura Familiar)</w:t>
            </w:r>
          </w:p>
        </w:tc>
        <w:tc>
          <w:tcPr>
            <w:tcW w:w="2270" w:type="dxa"/>
            <w:tcBorders>
              <w:top w:val="single" w:sz="4" w:space="0" w:color="948A54" w:themeColor="background2" w:themeShade="80"/>
              <w:left w:val="nil"/>
              <w:bottom w:val="single" w:sz="4" w:space="0" w:color="7F7F7F"/>
              <w:right w:val="nil"/>
            </w:tcBorders>
            <w:vAlign w:val="center"/>
            <w:hideMark/>
          </w:tcPr>
          <w:p w14:paraId="0C5B54DE" w14:textId="77777777" w:rsidR="00FB69AC" w:rsidRDefault="00FB69AC">
            <w:pPr>
              <w:spacing w:before="120"/>
              <w:jc w:val="center"/>
              <w:rPr>
                <w:rFonts w:cs="Arial"/>
                <w:b/>
                <w:bCs/>
                <w:sz w:val="20"/>
                <w:szCs w:val="20"/>
              </w:rPr>
            </w:pPr>
            <w:r>
              <w:rPr>
                <w:rFonts w:cs="Arial"/>
                <w:sz w:val="20"/>
                <w:szCs w:val="20"/>
              </w:rPr>
              <w:t>Número de estabelecimentos que solicitaram financiamento via PRONAF</w:t>
            </w:r>
          </w:p>
        </w:tc>
        <w:tc>
          <w:tcPr>
            <w:tcW w:w="1559" w:type="dxa"/>
            <w:tcBorders>
              <w:top w:val="single" w:sz="4" w:space="0" w:color="948A54" w:themeColor="background2" w:themeShade="80"/>
              <w:left w:val="nil"/>
              <w:bottom w:val="single" w:sz="4" w:space="0" w:color="7F7F7F"/>
              <w:right w:val="nil"/>
            </w:tcBorders>
            <w:vAlign w:val="center"/>
            <w:hideMark/>
          </w:tcPr>
          <w:p w14:paraId="26D38AAA" w14:textId="77777777" w:rsidR="00FB69AC" w:rsidRDefault="00FB69AC">
            <w:pPr>
              <w:spacing w:before="120"/>
              <w:jc w:val="center"/>
              <w:rPr>
                <w:rFonts w:cs="Arial"/>
                <w:sz w:val="20"/>
                <w:szCs w:val="20"/>
              </w:rPr>
            </w:pPr>
            <w:r>
              <w:rPr>
                <w:rFonts w:cs="Arial"/>
                <w:sz w:val="20"/>
                <w:szCs w:val="20"/>
              </w:rPr>
              <w:t>Discreta</w:t>
            </w:r>
          </w:p>
        </w:tc>
        <w:tc>
          <w:tcPr>
            <w:tcW w:w="2269" w:type="dxa"/>
            <w:tcBorders>
              <w:top w:val="single" w:sz="4" w:space="0" w:color="948A54" w:themeColor="background2" w:themeShade="80"/>
              <w:left w:val="nil"/>
              <w:bottom w:val="single" w:sz="4" w:space="0" w:color="7F7F7F"/>
              <w:right w:val="nil"/>
            </w:tcBorders>
            <w:vAlign w:val="center"/>
            <w:hideMark/>
          </w:tcPr>
          <w:p w14:paraId="1C7B5036" w14:textId="77777777" w:rsidR="00FB69AC" w:rsidRDefault="00FB69AC">
            <w:pPr>
              <w:spacing w:before="120"/>
              <w:jc w:val="both"/>
              <w:rPr>
                <w:rFonts w:cs="Arial"/>
                <w:sz w:val="20"/>
                <w:szCs w:val="20"/>
              </w:rPr>
            </w:pPr>
            <w:r>
              <w:rPr>
                <w:rFonts w:cs="Arial"/>
                <w:sz w:val="20"/>
                <w:szCs w:val="20"/>
              </w:rPr>
              <w:t>Cazella et al., (2020)</w:t>
            </w:r>
          </w:p>
        </w:tc>
        <w:tc>
          <w:tcPr>
            <w:tcW w:w="1137" w:type="dxa"/>
            <w:tcBorders>
              <w:top w:val="single" w:sz="4" w:space="0" w:color="948A54" w:themeColor="background2" w:themeShade="80"/>
              <w:left w:val="nil"/>
              <w:bottom w:val="single" w:sz="4" w:space="0" w:color="7F7F7F"/>
              <w:right w:val="nil"/>
            </w:tcBorders>
            <w:vAlign w:val="center"/>
            <w:hideMark/>
          </w:tcPr>
          <w:p w14:paraId="41C0E0CA" w14:textId="77777777" w:rsidR="00FB69AC" w:rsidRDefault="00FB69AC">
            <w:pPr>
              <w:spacing w:before="120"/>
              <w:jc w:val="both"/>
              <w:rPr>
                <w:rFonts w:cs="Arial"/>
                <w:sz w:val="20"/>
                <w:szCs w:val="20"/>
              </w:rPr>
            </w:pPr>
            <w:r>
              <w:rPr>
                <w:rFonts w:cs="Arial"/>
                <w:sz w:val="20"/>
                <w:szCs w:val="20"/>
              </w:rPr>
              <w:t>Sidra IBGE</w:t>
            </w:r>
          </w:p>
        </w:tc>
      </w:tr>
    </w:tbl>
    <w:p w14:paraId="03D0BA69" w14:textId="77777777" w:rsidR="00FB69AC" w:rsidRDefault="00FB69AC" w:rsidP="00FB69AC">
      <w:pPr>
        <w:spacing w:before="120"/>
        <w:jc w:val="both"/>
        <w:rPr>
          <w:rFonts w:cs="Arial"/>
          <w:sz w:val="20"/>
          <w:szCs w:val="20"/>
        </w:rPr>
      </w:pPr>
      <w:r>
        <w:rPr>
          <w:rFonts w:cs="Arial"/>
          <w:sz w:val="20"/>
          <w:szCs w:val="20"/>
        </w:rPr>
        <w:t>Fonte: Elaborado pelos autores.</w:t>
      </w:r>
    </w:p>
    <w:p w14:paraId="798C127A" w14:textId="77777777" w:rsidR="00FB69AC" w:rsidRDefault="00FB69AC" w:rsidP="00FB69AC">
      <w:pPr>
        <w:spacing w:before="120"/>
        <w:ind w:firstLine="708"/>
        <w:jc w:val="both"/>
        <w:rPr>
          <w:rFonts w:cs="Arial"/>
        </w:rPr>
      </w:pPr>
      <w:r>
        <w:rPr>
          <w:rFonts w:cs="Arial"/>
        </w:rPr>
        <w:t xml:space="preserve">Pressupõe-se que as variáveis independentes se relacionem positivamente como a variável dependente. Como hipótese nula, a ser rejeitada, acredita-se que o percentual de aquisição de alimentos da agricultura familiar nos municípios não influencia na organização formal dos agricultores dos municípios de Minas Gerais. </w:t>
      </w:r>
    </w:p>
    <w:p w14:paraId="0DADC557" w14:textId="77777777" w:rsidR="00FB69AC" w:rsidRDefault="00FB69AC" w:rsidP="00FB69AC">
      <w:pPr>
        <w:spacing w:before="120"/>
        <w:ind w:firstLine="708"/>
        <w:jc w:val="both"/>
        <w:rPr>
          <w:rFonts w:cs="Arial"/>
        </w:rPr>
      </w:pPr>
      <w:r>
        <w:rPr>
          <w:rFonts w:cs="Arial"/>
        </w:rPr>
        <w:t xml:space="preserve">Cabe destacar que foram coletados dados dos 853 municípios mineiros e os dados de 77 municípios foram excluídos por não contarem com informações das variáveis estudadas.  Além disso, visando a padronização para a variável PNAE em relação ao recurso transferido para aquisição de alimentos da agricultura familiar, no ano de interesse, optou-se por considerar até 100% deste recurso, excluindo assim valores superiores a este parâmetro. </w:t>
      </w:r>
    </w:p>
    <w:p w14:paraId="12A87FD3" w14:textId="3529A975" w:rsidR="00A642BE" w:rsidRDefault="00FB69AC" w:rsidP="00FB69AC">
      <w:pPr>
        <w:spacing w:before="120"/>
        <w:ind w:firstLine="709"/>
        <w:rPr>
          <w:rFonts w:cs="Arial"/>
        </w:rPr>
      </w:pPr>
      <w:r>
        <w:rPr>
          <w:rFonts w:cs="Arial"/>
        </w:rPr>
        <w:t>Como pressuposto do modelo, Hosmer e Lemeshow (2000) sugerem que a amostra possua no mínimo 400 observações. Neste caso nosso modelo possui 776 observações para cinco variáveis independentes, cumprindo com tal pressuposto.</w:t>
      </w:r>
    </w:p>
    <w:p w14:paraId="1A56CED7" w14:textId="77777777" w:rsidR="00152D03" w:rsidRPr="00190020" w:rsidRDefault="00152D03" w:rsidP="00FB69AC">
      <w:pPr>
        <w:spacing w:before="120"/>
        <w:ind w:firstLine="709"/>
        <w:rPr>
          <w:lang w:val="pt-BR"/>
        </w:rPr>
      </w:pPr>
    </w:p>
    <w:p w14:paraId="653C81CA" w14:textId="46A5D137" w:rsidR="00A642BE" w:rsidRPr="00190020" w:rsidRDefault="00F05B0E" w:rsidP="00F05B0E">
      <w:pPr>
        <w:pStyle w:val="Heading1"/>
      </w:pPr>
      <w:r w:rsidRPr="00190020">
        <w:rPr>
          <w:rFonts w:eastAsia="Arial"/>
        </w:rPr>
        <w:t xml:space="preserve">4. </w:t>
      </w:r>
      <w:r w:rsidR="00C60068" w:rsidRPr="00190020">
        <w:rPr>
          <w:rFonts w:eastAsia="Arial"/>
        </w:rPr>
        <w:t>Análise e discussão dos dados</w:t>
      </w:r>
    </w:p>
    <w:p w14:paraId="6DE7F361" w14:textId="77777777" w:rsidR="00FB69AC" w:rsidRDefault="00FB69AC" w:rsidP="00FB69AC">
      <w:pPr>
        <w:spacing w:before="120"/>
        <w:ind w:firstLine="708"/>
        <w:jc w:val="both"/>
        <w:rPr>
          <w:rFonts w:cs="Arial"/>
          <w:lang w:val="pt-BR"/>
        </w:rPr>
      </w:pPr>
      <w:r>
        <w:rPr>
          <w:rFonts w:cs="Arial"/>
        </w:rPr>
        <w:t xml:space="preserve">Nesta seção é apresentado primeiramente a análise descritiva dos dados, a avaliação do modelo de regressão logística, os resultados e a discussão. </w:t>
      </w:r>
    </w:p>
    <w:p w14:paraId="7670BCA8" w14:textId="77777777" w:rsidR="00FB69AC" w:rsidRDefault="00FB69AC" w:rsidP="00FB69AC">
      <w:pPr>
        <w:spacing w:before="120"/>
        <w:ind w:firstLine="708"/>
        <w:jc w:val="both"/>
        <w:rPr>
          <w:rFonts w:cs="Arial"/>
        </w:rPr>
      </w:pPr>
    </w:p>
    <w:p w14:paraId="5E0272F0" w14:textId="0F49BFB6" w:rsidR="00FB69AC" w:rsidRDefault="00FB69AC" w:rsidP="00FB69AC">
      <w:pPr>
        <w:spacing w:before="120"/>
        <w:jc w:val="both"/>
        <w:rPr>
          <w:rFonts w:cs="Arial"/>
          <w:b/>
          <w:bCs/>
        </w:rPr>
      </w:pPr>
      <w:bookmarkStart w:id="5" w:name="_Toc99191369"/>
      <w:r>
        <w:rPr>
          <w:rFonts w:cs="Arial"/>
          <w:b/>
          <w:bCs/>
        </w:rPr>
        <w:t>4.1 Análise Descritiva</w:t>
      </w:r>
      <w:bookmarkEnd w:id="5"/>
      <w:r>
        <w:rPr>
          <w:rFonts w:cs="Arial"/>
          <w:b/>
          <w:bCs/>
        </w:rPr>
        <w:t xml:space="preserve"> </w:t>
      </w:r>
    </w:p>
    <w:p w14:paraId="1F004F69" w14:textId="77777777" w:rsidR="00FB69AC" w:rsidRDefault="00FB69AC" w:rsidP="00FB69AC">
      <w:pPr>
        <w:spacing w:before="120"/>
        <w:ind w:firstLine="708"/>
        <w:jc w:val="both"/>
        <w:rPr>
          <w:rFonts w:cs="Arial"/>
        </w:rPr>
      </w:pPr>
      <w:r>
        <w:rPr>
          <w:rFonts w:cs="Arial"/>
        </w:rPr>
        <w:tab/>
        <w:t xml:space="preserve">Para compreensão da distribuição dos dados selecionados para estimação do modelo, a Tabela 1 apresenta a descrição da média, valor máximo e mínimo das variáveis independentes. </w:t>
      </w:r>
    </w:p>
    <w:p w14:paraId="69F32A09" w14:textId="77777777" w:rsidR="00FB69AC" w:rsidRDefault="00FB69AC" w:rsidP="00FB69AC">
      <w:pPr>
        <w:spacing w:before="120"/>
        <w:jc w:val="both"/>
        <w:rPr>
          <w:rFonts w:cs="Arial"/>
          <w:b/>
          <w:bCs/>
          <w:sz w:val="22"/>
          <w:szCs w:val="22"/>
        </w:rPr>
      </w:pPr>
      <w:r>
        <w:rPr>
          <w:rFonts w:cs="Arial"/>
          <w:b/>
          <w:bCs/>
        </w:rPr>
        <w:t>Tabela 1 – Análise descritiva das variáveis</w:t>
      </w:r>
    </w:p>
    <w:tbl>
      <w:tblPr>
        <w:tblW w:w="5000" w:type="pct"/>
        <w:jc w:val="center"/>
        <w:tblBorders>
          <w:top w:val="single" w:sz="4" w:space="0" w:color="7F7F7F"/>
          <w:bottom w:val="single" w:sz="4" w:space="0" w:color="7F7F7F"/>
        </w:tblBorders>
        <w:tblLook w:val="04A0" w:firstRow="1" w:lastRow="0" w:firstColumn="1" w:lastColumn="0" w:noHBand="0" w:noVBand="1"/>
      </w:tblPr>
      <w:tblGrid>
        <w:gridCol w:w="3478"/>
        <w:gridCol w:w="1022"/>
        <w:gridCol w:w="1295"/>
        <w:gridCol w:w="1297"/>
        <w:gridCol w:w="1980"/>
      </w:tblGrid>
      <w:tr w:rsidR="00FB69AC" w:rsidRPr="00FB69AC" w14:paraId="5A53E910" w14:textId="77777777" w:rsidTr="00FB69AC">
        <w:trPr>
          <w:trHeight w:val="245"/>
          <w:jc w:val="center"/>
        </w:trPr>
        <w:tc>
          <w:tcPr>
            <w:tcW w:w="1917" w:type="pct"/>
            <w:tcBorders>
              <w:top w:val="single" w:sz="4" w:space="0" w:color="7F7F7F"/>
              <w:left w:val="nil"/>
              <w:bottom w:val="single" w:sz="4" w:space="0" w:color="7F7F7F"/>
              <w:right w:val="nil"/>
            </w:tcBorders>
            <w:noWrap/>
            <w:hideMark/>
          </w:tcPr>
          <w:p w14:paraId="30A092A2" w14:textId="77777777" w:rsidR="00FB69AC" w:rsidRPr="00FB69AC" w:rsidRDefault="00FB69AC">
            <w:pPr>
              <w:spacing w:before="120"/>
              <w:jc w:val="both"/>
              <w:rPr>
                <w:rFonts w:cs="Arial"/>
                <w:b/>
                <w:bCs/>
                <w:sz w:val="20"/>
                <w:szCs w:val="20"/>
              </w:rPr>
            </w:pPr>
            <w:r w:rsidRPr="00FB69AC">
              <w:rPr>
                <w:rFonts w:cs="Arial"/>
                <w:b/>
                <w:bCs/>
                <w:sz w:val="20"/>
                <w:szCs w:val="20"/>
              </w:rPr>
              <w:t>Variáveis</w:t>
            </w:r>
          </w:p>
        </w:tc>
        <w:tc>
          <w:tcPr>
            <w:tcW w:w="563" w:type="pct"/>
            <w:tcBorders>
              <w:top w:val="single" w:sz="4" w:space="0" w:color="7F7F7F"/>
              <w:left w:val="nil"/>
              <w:bottom w:val="single" w:sz="4" w:space="0" w:color="7F7F7F"/>
              <w:right w:val="nil"/>
            </w:tcBorders>
            <w:noWrap/>
            <w:hideMark/>
          </w:tcPr>
          <w:p w14:paraId="1B2611E4" w14:textId="77777777" w:rsidR="00FB69AC" w:rsidRPr="00FB69AC" w:rsidRDefault="00FB69AC">
            <w:pPr>
              <w:spacing w:before="120"/>
              <w:jc w:val="center"/>
              <w:rPr>
                <w:rFonts w:cs="Arial"/>
                <w:b/>
                <w:bCs/>
                <w:sz w:val="20"/>
                <w:szCs w:val="20"/>
              </w:rPr>
            </w:pPr>
            <w:r w:rsidRPr="00FB69AC">
              <w:rPr>
                <w:rFonts w:cs="Arial"/>
                <w:b/>
                <w:bCs/>
                <w:sz w:val="20"/>
                <w:szCs w:val="20"/>
              </w:rPr>
              <w:t>Mínimo</w:t>
            </w:r>
          </w:p>
        </w:tc>
        <w:tc>
          <w:tcPr>
            <w:tcW w:w="714" w:type="pct"/>
            <w:tcBorders>
              <w:top w:val="single" w:sz="4" w:space="0" w:color="7F7F7F"/>
              <w:left w:val="nil"/>
              <w:bottom w:val="single" w:sz="4" w:space="0" w:color="7F7F7F"/>
              <w:right w:val="nil"/>
            </w:tcBorders>
            <w:noWrap/>
            <w:hideMark/>
          </w:tcPr>
          <w:p w14:paraId="1E8924C8" w14:textId="77777777" w:rsidR="00FB69AC" w:rsidRPr="00FB69AC" w:rsidRDefault="00FB69AC">
            <w:pPr>
              <w:spacing w:before="120"/>
              <w:jc w:val="center"/>
              <w:rPr>
                <w:rFonts w:cs="Arial"/>
                <w:b/>
                <w:bCs/>
                <w:sz w:val="20"/>
                <w:szCs w:val="20"/>
              </w:rPr>
            </w:pPr>
            <w:r w:rsidRPr="00FB69AC">
              <w:rPr>
                <w:rFonts w:cs="Arial"/>
                <w:b/>
                <w:bCs/>
                <w:sz w:val="20"/>
                <w:szCs w:val="20"/>
              </w:rPr>
              <w:t>Máximo</w:t>
            </w:r>
          </w:p>
        </w:tc>
        <w:tc>
          <w:tcPr>
            <w:tcW w:w="715" w:type="pct"/>
            <w:tcBorders>
              <w:top w:val="single" w:sz="4" w:space="0" w:color="7F7F7F"/>
              <w:left w:val="nil"/>
              <w:bottom w:val="single" w:sz="4" w:space="0" w:color="7F7F7F"/>
              <w:right w:val="nil"/>
            </w:tcBorders>
            <w:noWrap/>
            <w:hideMark/>
          </w:tcPr>
          <w:p w14:paraId="0E54D50A" w14:textId="77777777" w:rsidR="00FB69AC" w:rsidRPr="00FB69AC" w:rsidRDefault="00FB69AC">
            <w:pPr>
              <w:spacing w:before="120"/>
              <w:jc w:val="center"/>
              <w:rPr>
                <w:rFonts w:cs="Arial"/>
                <w:b/>
                <w:bCs/>
                <w:sz w:val="20"/>
                <w:szCs w:val="20"/>
              </w:rPr>
            </w:pPr>
            <w:r w:rsidRPr="00FB69AC">
              <w:rPr>
                <w:rFonts w:cs="Arial"/>
                <w:b/>
                <w:bCs/>
                <w:sz w:val="20"/>
                <w:szCs w:val="20"/>
              </w:rPr>
              <w:t>Média</w:t>
            </w:r>
          </w:p>
        </w:tc>
        <w:tc>
          <w:tcPr>
            <w:tcW w:w="1091" w:type="pct"/>
            <w:tcBorders>
              <w:top w:val="single" w:sz="4" w:space="0" w:color="7F7F7F"/>
              <w:left w:val="nil"/>
              <w:bottom w:val="single" w:sz="4" w:space="0" w:color="7F7F7F"/>
              <w:right w:val="nil"/>
            </w:tcBorders>
            <w:noWrap/>
            <w:hideMark/>
          </w:tcPr>
          <w:p w14:paraId="677DA5F0" w14:textId="77777777" w:rsidR="00FB69AC" w:rsidRPr="00FB69AC" w:rsidRDefault="00FB69AC">
            <w:pPr>
              <w:spacing w:before="120"/>
              <w:jc w:val="center"/>
              <w:rPr>
                <w:rFonts w:cs="Arial"/>
                <w:b/>
                <w:bCs/>
                <w:sz w:val="20"/>
                <w:szCs w:val="20"/>
              </w:rPr>
            </w:pPr>
            <w:r w:rsidRPr="00FB69AC">
              <w:rPr>
                <w:rFonts w:cs="Arial"/>
                <w:b/>
                <w:bCs/>
                <w:sz w:val="20"/>
                <w:szCs w:val="20"/>
              </w:rPr>
              <w:t>Desvio-padrão</w:t>
            </w:r>
          </w:p>
        </w:tc>
      </w:tr>
      <w:tr w:rsidR="00FB69AC" w:rsidRPr="00FB69AC" w14:paraId="58CE053D" w14:textId="77777777" w:rsidTr="00FB69AC">
        <w:trPr>
          <w:trHeight w:val="235"/>
          <w:jc w:val="center"/>
        </w:trPr>
        <w:tc>
          <w:tcPr>
            <w:tcW w:w="1917" w:type="pct"/>
            <w:tcBorders>
              <w:top w:val="nil"/>
              <w:left w:val="nil"/>
              <w:bottom w:val="nil"/>
              <w:right w:val="nil"/>
            </w:tcBorders>
            <w:noWrap/>
            <w:hideMark/>
          </w:tcPr>
          <w:p w14:paraId="6020F4D6" w14:textId="77777777" w:rsidR="00FB69AC" w:rsidRPr="00FB69AC" w:rsidRDefault="00FB69AC">
            <w:pPr>
              <w:spacing w:before="120"/>
              <w:jc w:val="both"/>
              <w:rPr>
                <w:rFonts w:cs="Arial"/>
                <w:sz w:val="20"/>
                <w:szCs w:val="20"/>
              </w:rPr>
            </w:pPr>
            <w:r w:rsidRPr="00FB69AC">
              <w:rPr>
                <w:rFonts w:cs="Arial"/>
                <w:sz w:val="20"/>
                <w:szCs w:val="20"/>
              </w:rPr>
              <w:t>PNAE</w:t>
            </w:r>
          </w:p>
        </w:tc>
        <w:tc>
          <w:tcPr>
            <w:tcW w:w="563" w:type="pct"/>
            <w:tcBorders>
              <w:top w:val="nil"/>
              <w:left w:val="nil"/>
              <w:bottom w:val="nil"/>
              <w:right w:val="nil"/>
            </w:tcBorders>
            <w:noWrap/>
            <w:hideMark/>
          </w:tcPr>
          <w:p w14:paraId="6B5D9067" w14:textId="77777777" w:rsidR="00FB69AC" w:rsidRPr="00FB69AC" w:rsidRDefault="00FB69AC">
            <w:pPr>
              <w:spacing w:before="120"/>
              <w:jc w:val="center"/>
              <w:rPr>
                <w:rFonts w:cs="Arial"/>
                <w:sz w:val="20"/>
                <w:szCs w:val="20"/>
              </w:rPr>
            </w:pPr>
            <w:r w:rsidRPr="00FB69AC">
              <w:rPr>
                <w:rFonts w:cs="Arial"/>
                <w:sz w:val="20"/>
                <w:szCs w:val="20"/>
              </w:rPr>
              <w:t>0</w:t>
            </w:r>
          </w:p>
        </w:tc>
        <w:tc>
          <w:tcPr>
            <w:tcW w:w="714" w:type="pct"/>
            <w:tcBorders>
              <w:top w:val="nil"/>
              <w:left w:val="nil"/>
              <w:bottom w:val="nil"/>
              <w:right w:val="nil"/>
            </w:tcBorders>
            <w:noWrap/>
            <w:hideMark/>
          </w:tcPr>
          <w:p w14:paraId="7F79B760" w14:textId="77777777" w:rsidR="00FB69AC" w:rsidRPr="00FB69AC" w:rsidRDefault="00FB69AC">
            <w:pPr>
              <w:spacing w:before="120"/>
              <w:jc w:val="center"/>
              <w:rPr>
                <w:rFonts w:cs="Arial"/>
                <w:sz w:val="20"/>
                <w:szCs w:val="20"/>
              </w:rPr>
            </w:pPr>
            <w:r w:rsidRPr="00FB69AC">
              <w:rPr>
                <w:rFonts w:cs="Arial"/>
                <w:sz w:val="20"/>
                <w:szCs w:val="20"/>
              </w:rPr>
              <w:t>99,1</w:t>
            </w:r>
          </w:p>
        </w:tc>
        <w:tc>
          <w:tcPr>
            <w:tcW w:w="715" w:type="pct"/>
            <w:tcBorders>
              <w:top w:val="nil"/>
              <w:left w:val="nil"/>
              <w:bottom w:val="nil"/>
              <w:right w:val="nil"/>
            </w:tcBorders>
            <w:noWrap/>
            <w:hideMark/>
          </w:tcPr>
          <w:p w14:paraId="7B7CD6BB" w14:textId="77777777" w:rsidR="00FB69AC" w:rsidRPr="00FB69AC" w:rsidRDefault="00FB69AC">
            <w:pPr>
              <w:spacing w:before="120"/>
              <w:jc w:val="center"/>
              <w:rPr>
                <w:rFonts w:cs="Arial"/>
                <w:sz w:val="20"/>
                <w:szCs w:val="20"/>
              </w:rPr>
            </w:pPr>
            <w:r w:rsidRPr="00FB69AC">
              <w:rPr>
                <w:rFonts w:cs="Arial"/>
                <w:sz w:val="20"/>
                <w:szCs w:val="20"/>
              </w:rPr>
              <w:t>30,75</w:t>
            </w:r>
          </w:p>
        </w:tc>
        <w:tc>
          <w:tcPr>
            <w:tcW w:w="1091" w:type="pct"/>
            <w:tcBorders>
              <w:top w:val="nil"/>
              <w:left w:val="nil"/>
              <w:bottom w:val="nil"/>
              <w:right w:val="nil"/>
            </w:tcBorders>
            <w:noWrap/>
            <w:hideMark/>
          </w:tcPr>
          <w:p w14:paraId="7F46C3AF" w14:textId="77777777" w:rsidR="00FB69AC" w:rsidRPr="00FB69AC" w:rsidRDefault="00FB69AC">
            <w:pPr>
              <w:spacing w:before="120"/>
              <w:jc w:val="center"/>
              <w:rPr>
                <w:rFonts w:cs="Arial"/>
                <w:sz w:val="20"/>
                <w:szCs w:val="20"/>
              </w:rPr>
            </w:pPr>
            <w:r w:rsidRPr="00FB69AC">
              <w:rPr>
                <w:rFonts w:cs="Arial"/>
                <w:sz w:val="20"/>
                <w:szCs w:val="20"/>
              </w:rPr>
              <w:t>0,34</w:t>
            </w:r>
          </w:p>
        </w:tc>
      </w:tr>
      <w:tr w:rsidR="00FB69AC" w:rsidRPr="00FB69AC" w14:paraId="4EE206CC" w14:textId="77777777" w:rsidTr="00FB69AC">
        <w:trPr>
          <w:trHeight w:val="235"/>
          <w:jc w:val="center"/>
        </w:trPr>
        <w:tc>
          <w:tcPr>
            <w:tcW w:w="1917" w:type="pct"/>
            <w:tcBorders>
              <w:top w:val="single" w:sz="4" w:space="0" w:color="7F7F7F"/>
              <w:left w:val="nil"/>
              <w:bottom w:val="single" w:sz="4" w:space="0" w:color="7F7F7F"/>
              <w:right w:val="nil"/>
            </w:tcBorders>
            <w:noWrap/>
            <w:hideMark/>
          </w:tcPr>
          <w:p w14:paraId="72ABC7F4" w14:textId="77777777" w:rsidR="00FB69AC" w:rsidRPr="00FB69AC" w:rsidRDefault="00FB69AC">
            <w:pPr>
              <w:spacing w:before="120"/>
              <w:jc w:val="both"/>
              <w:rPr>
                <w:rFonts w:cs="Arial"/>
                <w:sz w:val="20"/>
                <w:szCs w:val="20"/>
              </w:rPr>
            </w:pPr>
            <w:r w:rsidRPr="00FB69AC">
              <w:rPr>
                <w:rFonts w:cs="Arial"/>
                <w:sz w:val="20"/>
                <w:szCs w:val="20"/>
              </w:rPr>
              <w:t>ESTAF</w:t>
            </w:r>
          </w:p>
        </w:tc>
        <w:tc>
          <w:tcPr>
            <w:tcW w:w="563" w:type="pct"/>
            <w:tcBorders>
              <w:top w:val="single" w:sz="4" w:space="0" w:color="7F7F7F"/>
              <w:left w:val="nil"/>
              <w:bottom w:val="single" w:sz="4" w:space="0" w:color="7F7F7F"/>
              <w:right w:val="nil"/>
            </w:tcBorders>
            <w:noWrap/>
            <w:hideMark/>
          </w:tcPr>
          <w:p w14:paraId="4322D0D4" w14:textId="77777777" w:rsidR="00FB69AC" w:rsidRPr="00FB69AC" w:rsidRDefault="00FB69AC">
            <w:pPr>
              <w:spacing w:before="120"/>
              <w:jc w:val="center"/>
              <w:rPr>
                <w:rFonts w:cs="Arial"/>
                <w:sz w:val="20"/>
                <w:szCs w:val="20"/>
              </w:rPr>
            </w:pPr>
            <w:r w:rsidRPr="00FB69AC">
              <w:rPr>
                <w:rFonts w:cs="Arial"/>
                <w:sz w:val="20"/>
                <w:szCs w:val="20"/>
              </w:rPr>
              <w:t>18</w:t>
            </w:r>
          </w:p>
        </w:tc>
        <w:tc>
          <w:tcPr>
            <w:tcW w:w="714" w:type="pct"/>
            <w:tcBorders>
              <w:top w:val="single" w:sz="4" w:space="0" w:color="7F7F7F"/>
              <w:left w:val="nil"/>
              <w:bottom w:val="single" w:sz="4" w:space="0" w:color="7F7F7F"/>
              <w:right w:val="nil"/>
            </w:tcBorders>
            <w:noWrap/>
            <w:hideMark/>
          </w:tcPr>
          <w:p w14:paraId="29B23227" w14:textId="77777777" w:rsidR="00FB69AC" w:rsidRPr="00FB69AC" w:rsidRDefault="00FB69AC">
            <w:pPr>
              <w:spacing w:before="120"/>
              <w:jc w:val="center"/>
              <w:rPr>
                <w:rFonts w:cs="Arial"/>
                <w:sz w:val="20"/>
                <w:szCs w:val="20"/>
              </w:rPr>
            </w:pPr>
            <w:r w:rsidRPr="00FB69AC">
              <w:rPr>
                <w:rFonts w:cs="Arial"/>
                <w:sz w:val="20"/>
                <w:szCs w:val="20"/>
              </w:rPr>
              <w:t>3645</w:t>
            </w:r>
          </w:p>
        </w:tc>
        <w:tc>
          <w:tcPr>
            <w:tcW w:w="715" w:type="pct"/>
            <w:tcBorders>
              <w:top w:val="single" w:sz="4" w:space="0" w:color="7F7F7F"/>
              <w:left w:val="nil"/>
              <w:bottom w:val="single" w:sz="4" w:space="0" w:color="7F7F7F"/>
              <w:right w:val="nil"/>
            </w:tcBorders>
            <w:noWrap/>
            <w:hideMark/>
          </w:tcPr>
          <w:p w14:paraId="343AD38B" w14:textId="77777777" w:rsidR="00FB69AC" w:rsidRPr="00FB69AC" w:rsidRDefault="00FB69AC">
            <w:pPr>
              <w:spacing w:before="120"/>
              <w:jc w:val="center"/>
              <w:rPr>
                <w:rFonts w:cs="Arial"/>
                <w:sz w:val="20"/>
                <w:szCs w:val="20"/>
              </w:rPr>
            </w:pPr>
            <w:r w:rsidRPr="00FB69AC">
              <w:rPr>
                <w:rFonts w:cs="Arial"/>
                <w:sz w:val="20"/>
                <w:szCs w:val="20"/>
              </w:rPr>
              <w:t>546</w:t>
            </w:r>
          </w:p>
        </w:tc>
        <w:tc>
          <w:tcPr>
            <w:tcW w:w="1091" w:type="pct"/>
            <w:tcBorders>
              <w:top w:val="single" w:sz="4" w:space="0" w:color="7F7F7F"/>
              <w:left w:val="nil"/>
              <w:bottom w:val="single" w:sz="4" w:space="0" w:color="7F7F7F"/>
              <w:right w:val="nil"/>
            </w:tcBorders>
            <w:noWrap/>
            <w:hideMark/>
          </w:tcPr>
          <w:p w14:paraId="4FD23903" w14:textId="77777777" w:rsidR="00FB69AC" w:rsidRPr="00FB69AC" w:rsidRDefault="00FB69AC">
            <w:pPr>
              <w:spacing w:before="120"/>
              <w:jc w:val="center"/>
              <w:rPr>
                <w:rFonts w:cs="Arial"/>
                <w:sz w:val="20"/>
                <w:szCs w:val="20"/>
              </w:rPr>
            </w:pPr>
            <w:r w:rsidRPr="00FB69AC">
              <w:rPr>
                <w:rFonts w:cs="Arial"/>
                <w:sz w:val="20"/>
                <w:szCs w:val="20"/>
              </w:rPr>
              <w:t>505,05</w:t>
            </w:r>
          </w:p>
        </w:tc>
      </w:tr>
      <w:tr w:rsidR="00FB69AC" w:rsidRPr="00FB69AC" w14:paraId="6A616286" w14:textId="77777777" w:rsidTr="00FB69AC">
        <w:trPr>
          <w:trHeight w:val="235"/>
          <w:jc w:val="center"/>
        </w:trPr>
        <w:tc>
          <w:tcPr>
            <w:tcW w:w="1917" w:type="pct"/>
            <w:tcBorders>
              <w:top w:val="nil"/>
              <w:left w:val="nil"/>
              <w:bottom w:val="nil"/>
              <w:right w:val="nil"/>
            </w:tcBorders>
            <w:noWrap/>
            <w:hideMark/>
          </w:tcPr>
          <w:p w14:paraId="502BB0BA" w14:textId="77777777" w:rsidR="00FB69AC" w:rsidRPr="00FB69AC" w:rsidRDefault="00FB69AC">
            <w:pPr>
              <w:spacing w:before="120"/>
              <w:jc w:val="both"/>
              <w:rPr>
                <w:rFonts w:cs="Arial"/>
                <w:sz w:val="20"/>
                <w:szCs w:val="20"/>
              </w:rPr>
            </w:pPr>
            <w:r w:rsidRPr="00FB69AC">
              <w:rPr>
                <w:rFonts w:cs="Arial"/>
                <w:sz w:val="20"/>
                <w:szCs w:val="20"/>
              </w:rPr>
              <w:t>ASSIGOV</w:t>
            </w:r>
          </w:p>
        </w:tc>
        <w:tc>
          <w:tcPr>
            <w:tcW w:w="563" w:type="pct"/>
            <w:tcBorders>
              <w:top w:val="nil"/>
              <w:left w:val="nil"/>
              <w:bottom w:val="nil"/>
              <w:right w:val="nil"/>
            </w:tcBorders>
            <w:noWrap/>
            <w:hideMark/>
          </w:tcPr>
          <w:p w14:paraId="3727A9A3" w14:textId="77777777" w:rsidR="00FB69AC" w:rsidRPr="00FB69AC" w:rsidRDefault="00FB69AC">
            <w:pPr>
              <w:spacing w:before="120"/>
              <w:jc w:val="center"/>
              <w:rPr>
                <w:rFonts w:cs="Arial"/>
                <w:sz w:val="20"/>
                <w:szCs w:val="20"/>
              </w:rPr>
            </w:pPr>
            <w:r w:rsidRPr="00FB69AC">
              <w:rPr>
                <w:rFonts w:cs="Arial"/>
                <w:sz w:val="20"/>
                <w:szCs w:val="20"/>
              </w:rPr>
              <w:t>1</w:t>
            </w:r>
          </w:p>
        </w:tc>
        <w:tc>
          <w:tcPr>
            <w:tcW w:w="714" w:type="pct"/>
            <w:tcBorders>
              <w:top w:val="nil"/>
              <w:left w:val="nil"/>
              <w:bottom w:val="nil"/>
              <w:right w:val="nil"/>
            </w:tcBorders>
            <w:noWrap/>
            <w:hideMark/>
          </w:tcPr>
          <w:p w14:paraId="07A3926F" w14:textId="77777777" w:rsidR="00FB69AC" w:rsidRPr="00FB69AC" w:rsidRDefault="00FB69AC">
            <w:pPr>
              <w:spacing w:before="120"/>
              <w:jc w:val="center"/>
              <w:rPr>
                <w:rFonts w:cs="Arial"/>
                <w:sz w:val="20"/>
                <w:szCs w:val="20"/>
              </w:rPr>
            </w:pPr>
            <w:r w:rsidRPr="00FB69AC">
              <w:rPr>
                <w:rFonts w:cs="Arial"/>
                <w:sz w:val="20"/>
                <w:szCs w:val="20"/>
              </w:rPr>
              <w:t>1004</w:t>
            </w:r>
          </w:p>
        </w:tc>
        <w:tc>
          <w:tcPr>
            <w:tcW w:w="715" w:type="pct"/>
            <w:tcBorders>
              <w:top w:val="nil"/>
              <w:left w:val="nil"/>
              <w:bottom w:val="nil"/>
              <w:right w:val="nil"/>
            </w:tcBorders>
            <w:noWrap/>
            <w:hideMark/>
          </w:tcPr>
          <w:p w14:paraId="293552FD" w14:textId="77777777" w:rsidR="00FB69AC" w:rsidRPr="00FB69AC" w:rsidRDefault="00FB69AC">
            <w:pPr>
              <w:spacing w:before="120"/>
              <w:jc w:val="center"/>
              <w:rPr>
                <w:rFonts w:cs="Arial"/>
                <w:sz w:val="20"/>
                <w:szCs w:val="20"/>
              </w:rPr>
            </w:pPr>
            <w:r w:rsidRPr="00FB69AC">
              <w:rPr>
                <w:rFonts w:cs="Arial"/>
                <w:sz w:val="20"/>
                <w:szCs w:val="20"/>
              </w:rPr>
              <w:t>28</w:t>
            </w:r>
          </w:p>
        </w:tc>
        <w:tc>
          <w:tcPr>
            <w:tcW w:w="1091" w:type="pct"/>
            <w:tcBorders>
              <w:top w:val="nil"/>
              <w:left w:val="nil"/>
              <w:bottom w:val="nil"/>
              <w:right w:val="nil"/>
            </w:tcBorders>
            <w:noWrap/>
            <w:hideMark/>
          </w:tcPr>
          <w:p w14:paraId="7DBD8341" w14:textId="77777777" w:rsidR="00FB69AC" w:rsidRPr="00FB69AC" w:rsidRDefault="00FB69AC">
            <w:pPr>
              <w:spacing w:before="120"/>
              <w:jc w:val="center"/>
              <w:rPr>
                <w:rFonts w:cs="Arial"/>
                <w:sz w:val="20"/>
                <w:szCs w:val="20"/>
              </w:rPr>
            </w:pPr>
            <w:r w:rsidRPr="00FB69AC">
              <w:rPr>
                <w:rFonts w:cs="Arial"/>
                <w:sz w:val="20"/>
                <w:szCs w:val="20"/>
              </w:rPr>
              <w:t>78,93</w:t>
            </w:r>
          </w:p>
        </w:tc>
      </w:tr>
      <w:tr w:rsidR="00FB69AC" w:rsidRPr="00FB69AC" w14:paraId="4D7502BC" w14:textId="77777777" w:rsidTr="00FB69AC">
        <w:trPr>
          <w:trHeight w:val="235"/>
          <w:jc w:val="center"/>
        </w:trPr>
        <w:tc>
          <w:tcPr>
            <w:tcW w:w="1917" w:type="pct"/>
            <w:tcBorders>
              <w:top w:val="single" w:sz="4" w:space="0" w:color="7F7F7F"/>
              <w:left w:val="nil"/>
              <w:bottom w:val="single" w:sz="4" w:space="0" w:color="7F7F7F"/>
              <w:right w:val="nil"/>
            </w:tcBorders>
            <w:noWrap/>
            <w:hideMark/>
          </w:tcPr>
          <w:p w14:paraId="350DB015" w14:textId="77777777" w:rsidR="00FB69AC" w:rsidRPr="00FB69AC" w:rsidRDefault="00FB69AC">
            <w:pPr>
              <w:spacing w:before="120"/>
              <w:jc w:val="both"/>
              <w:rPr>
                <w:rFonts w:cs="Arial"/>
                <w:sz w:val="20"/>
                <w:szCs w:val="20"/>
              </w:rPr>
            </w:pPr>
            <w:r w:rsidRPr="00FB69AC">
              <w:rPr>
                <w:rFonts w:cs="Arial"/>
                <w:sz w:val="20"/>
                <w:szCs w:val="20"/>
              </w:rPr>
              <w:t>VALORAD</w:t>
            </w:r>
          </w:p>
        </w:tc>
        <w:tc>
          <w:tcPr>
            <w:tcW w:w="563" w:type="pct"/>
            <w:tcBorders>
              <w:top w:val="single" w:sz="4" w:space="0" w:color="7F7F7F"/>
              <w:left w:val="nil"/>
              <w:bottom w:val="single" w:sz="4" w:space="0" w:color="7F7F7F"/>
              <w:right w:val="nil"/>
            </w:tcBorders>
            <w:noWrap/>
            <w:hideMark/>
          </w:tcPr>
          <w:p w14:paraId="6928E3B4" w14:textId="77777777" w:rsidR="00FB69AC" w:rsidRPr="00FB69AC" w:rsidRDefault="00FB69AC">
            <w:pPr>
              <w:spacing w:before="120"/>
              <w:jc w:val="center"/>
              <w:rPr>
                <w:rFonts w:cs="Arial"/>
                <w:sz w:val="20"/>
                <w:szCs w:val="20"/>
              </w:rPr>
            </w:pPr>
            <w:r w:rsidRPr="00FB69AC">
              <w:rPr>
                <w:rFonts w:cs="Arial"/>
                <w:sz w:val="20"/>
                <w:szCs w:val="20"/>
              </w:rPr>
              <w:t>0</w:t>
            </w:r>
          </w:p>
        </w:tc>
        <w:tc>
          <w:tcPr>
            <w:tcW w:w="714" w:type="pct"/>
            <w:tcBorders>
              <w:top w:val="single" w:sz="4" w:space="0" w:color="7F7F7F"/>
              <w:left w:val="nil"/>
              <w:bottom w:val="single" w:sz="4" w:space="0" w:color="7F7F7F"/>
              <w:right w:val="nil"/>
            </w:tcBorders>
            <w:noWrap/>
            <w:hideMark/>
          </w:tcPr>
          <w:p w14:paraId="60B45491" w14:textId="77777777" w:rsidR="00FB69AC" w:rsidRPr="00FB69AC" w:rsidRDefault="00FB69AC">
            <w:pPr>
              <w:spacing w:before="120"/>
              <w:jc w:val="center"/>
              <w:rPr>
                <w:rFonts w:cs="Arial"/>
                <w:sz w:val="20"/>
                <w:szCs w:val="20"/>
              </w:rPr>
            </w:pPr>
            <w:r w:rsidRPr="00FB69AC">
              <w:rPr>
                <w:rFonts w:cs="Arial"/>
                <w:sz w:val="20"/>
                <w:szCs w:val="20"/>
              </w:rPr>
              <w:t>76,3</w:t>
            </w:r>
          </w:p>
        </w:tc>
        <w:tc>
          <w:tcPr>
            <w:tcW w:w="715" w:type="pct"/>
            <w:tcBorders>
              <w:top w:val="single" w:sz="4" w:space="0" w:color="7F7F7F"/>
              <w:left w:val="nil"/>
              <w:bottom w:val="single" w:sz="4" w:space="0" w:color="7F7F7F"/>
              <w:right w:val="nil"/>
            </w:tcBorders>
            <w:noWrap/>
            <w:hideMark/>
          </w:tcPr>
          <w:p w14:paraId="011D3943" w14:textId="77777777" w:rsidR="00FB69AC" w:rsidRPr="00FB69AC" w:rsidRDefault="00FB69AC">
            <w:pPr>
              <w:spacing w:before="120"/>
              <w:jc w:val="center"/>
              <w:rPr>
                <w:rFonts w:cs="Arial"/>
                <w:sz w:val="20"/>
                <w:szCs w:val="20"/>
              </w:rPr>
            </w:pPr>
            <w:r w:rsidRPr="00FB69AC">
              <w:rPr>
                <w:rFonts w:cs="Arial"/>
                <w:sz w:val="20"/>
                <w:szCs w:val="20"/>
              </w:rPr>
              <w:t>15,98</w:t>
            </w:r>
          </w:p>
        </w:tc>
        <w:tc>
          <w:tcPr>
            <w:tcW w:w="1091" w:type="pct"/>
            <w:tcBorders>
              <w:top w:val="single" w:sz="4" w:space="0" w:color="7F7F7F"/>
              <w:left w:val="nil"/>
              <w:bottom w:val="single" w:sz="4" w:space="0" w:color="7F7F7F"/>
              <w:right w:val="nil"/>
            </w:tcBorders>
            <w:noWrap/>
            <w:hideMark/>
          </w:tcPr>
          <w:p w14:paraId="592A791C" w14:textId="77777777" w:rsidR="00FB69AC" w:rsidRPr="00FB69AC" w:rsidRDefault="00FB69AC">
            <w:pPr>
              <w:spacing w:before="120"/>
              <w:jc w:val="center"/>
              <w:rPr>
                <w:rFonts w:cs="Arial"/>
                <w:sz w:val="20"/>
                <w:szCs w:val="20"/>
              </w:rPr>
            </w:pPr>
            <w:r w:rsidRPr="00FB69AC">
              <w:rPr>
                <w:rFonts w:cs="Arial"/>
                <w:sz w:val="20"/>
                <w:szCs w:val="20"/>
              </w:rPr>
              <w:t>11,8</w:t>
            </w:r>
          </w:p>
        </w:tc>
      </w:tr>
      <w:tr w:rsidR="00FB69AC" w:rsidRPr="00FB69AC" w14:paraId="0B9FB1BA" w14:textId="77777777" w:rsidTr="00FB69AC">
        <w:trPr>
          <w:trHeight w:val="73"/>
          <w:jc w:val="center"/>
        </w:trPr>
        <w:tc>
          <w:tcPr>
            <w:tcW w:w="1917" w:type="pct"/>
            <w:tcBorders>
              <w:top w:val="single" w:sz="4" w:space="0" w:color="7F7F7F"/>
              <w:left w:val="nil"/>
              <w:bottom w:val="single" w:sz="4" w:space="0" w:color="7F7F7F"/>
              <w:right w:val="nil"/>
            </w:tcBorders>
            <w:noWrap/>
            <w:hideMark/>
          </w:tcPr>
          <w:p w14:paraId="1CF6CA41" w14:textId="77777777" w:rsidR="00FB69AC" w:rsidRPr="00FB69AC" w:rsidRDefault="00FB69AC">
            <w:pPr>
              <w:spacing w:before="120"/>
              <w:jc w:val="both"/>
              <w:rPr>
                <w:rFonts w:cs="Arial"/>
                <w:sz w:val="20"/>
                <w:szCs w:val="20"/>
              </w:rPr>
            </w:pPr>
            <w:r w:rsidRPr="00FB69AC">
              <w:rPr>
                <w:rFonts w:cs="Arial"/>
                <w:sz w:val="20"/>
                <w:szCs w:val="20"/>
              </w:rPr>
              <w:t>PRONAF</w:t>
            </w:r>
          </w:p>
        </w:tc>
        <w:tc>
          <w:tcPr>
            <w:tcW w:w="563" w:type="pct"/>
            <w:tcBorders>
              <w:top w:val="single" w:sz="4" w:space="0" w:color="7F7F7F"/>
              <w:left w:val="nil"/>
              <w:bottom w:val="single" w:sz="4" w:space="0" w:color="7F7F7F"/>
              <w:right w:val="nil"/>
            </w:tcBorders>
            <w:noWrap/>
            <w:hideMark/>
          </w:tcPr>
          <w:p w14:paraId="42B9DEEE" w14:textId="77777777" w:rsidR="00FB69AC" w:rsidRPr="00FB69AC" w:rsidRDefault="00FB69AC">
            <w:pPr>
              <w:spacing w:before="120"/>
              <w:jc w:val="center"/>
              <w:rPr>
                <w:rFonts w:cs="Arial"/>
                <w:sz w:val="20"/>
                <w:szCs w:val="20"/>
              </w:rPr>
            </w:pPr>
            <w:r w:rsidRPr="00FB69AC">
              <w:rPr>
                <w:rFonts w:cs="Arial"/>
                <w:sz w:val="20"/>
                <w:szCs w:val="20"/>
              </w:rPr>
              <w:t>1</w:t>
            </w:r>
          </w:p>
        </w:tc>
        <w:tc>
          <w:tcPr>
            <w:tcW w:w="714" w:type="pct"/>
            <w:tcBorders>
              <w:top w:val="single" w:sz="4" w:space="0" w:color="7F7F7F"/>
              <w:left w:val="nil"/>
              <w:bottom w:val="single" w:sz="4" w:space="0" w:color="7F7F7F"/>
              <w:right w:val="nil"/>
            </w:tcBorders>
            <w:noWrap/>
            <w:hideMark/>
          </w:tcPr>
          <w:p w14:paraId="6FAA1697" w14:textId="77777777" w:rsidR="00FB69AC" w:rsidRPr="00FB69AC" w:rsidRDefault="00FB69AC">
            <w:pPr>
              <w:spacing w:before="120"/>
              <w:jc w:val="center"/>
              <w:rPr>
                <w:rFonts w:cs="Arial"/>
                <w:sz w:val="20"/>
                <w:szCs w:val="20"/>
              </w:rPr>
            </w:pPr>
            <w:r w:rsidRPr="00FB69AC">
              <w:rPr>
                <w:rFonts w:cs="Arial"/>
                <w:sz w:val="20"/>
                <w:szCs w:val="20"/>
              </w:rPr>
              <w:t>662</w:t>
            </w:r>
          </w:p>
        </w:tc>
        <w:tc>
          <w:tcPr>
            <w:tcW w:w="715" w:type="pct"/>
            <w:tcBorders>
              <w:top w:val="single" w:sz="4" w:space="0" w:color="7F7F7F"/>
              <w:left w:val="nil"/>
              <w:bottom w:val="single" w:sz="4" w:space="0" w:color="7F7F7F"/>
              <w:right w:val="nil"/>
            </w:tcBorders>
            <w:noWrap/>
            <w:hideMark/>
          </w:tcPr>
          <w:p w14:paraId="6B319FA8" w14:textId="77777777" w:rsidR="00FB69AC" w:rsidRPr="00FB69AC" w:rsidRDefault="00FB69AC">
            <w:pPr>
              <w:spacing w:before="120"/>
              <w:jc w:val="center"/>
              <w:rPr>
                <w:rFonts w:cs="Arial"/>
                <w:sz w:val="20"/>
                <w:szCs w:val="20"/>
              </w:rPr>
            </w:pPr>
            <w:r w:rsidRPr="00FB69AC">
              <w:rPr>
                <w:rFonts w:cs="Arial"/>
                <w:sz w:val="20"/>
                <w:szCs w:val="20"/>
              </w:rPr>
              <w:t>25</w:t>
            </w:r>
          </w:p>
        </w:tc>
        <w:tc>
          <w:tcPr>
            <w:tcW w:w="1091" w:type="pct"/>
            <w:tcBorders>
              <w:top w:val="single" w:sz="4" w:space="0" w:color="7F7F7F"/>
              <w:left w:val="nil"/>
              <w:bottom w:val="single" w:sz="4" w:space="0" w:color="7F7F7F"/>
              <w:right w:val="nil"/>
            </w:tcBorders>
            <w:noWrap/>
            <w:hideMark/>
          </w:tcPr>
          <w:p w14:paraId="69C6D329" w14:textId="77777777" w:rsidR="00FB69AC" w:rsidRPr="00FB69AC" w:rsidRDefault="00FB69AC">
            <w:pPr>
              <w:spacing w:before="120"/>
              <w:jc w:val="center"/>
              <w:rPr>
                <w:rFonts w:cs="Arial"/>
                <w:sz w:val="20"/>
                <w:szCs w:val="20"/>
              </w:rPr>
            </w:pPr>
            <w:r w:rsidRPr="00FB69AC">
              <w:rPr>
                <w:rFonts w:cs="Arial"/>
                <w:sz w:val="20"/>
                <w:szCs w:val="20"/>
              </w:rPr>
              <w:t>19,8</w:t>
            </w:r>
          </w:p>
        </w:tc>
      </w:tr>
    </w:tbl>
    <w:p w14:paraId="0871DA48" w14:textId="77777777" w:rsidR="00FB69AC" w:rsidRPr="00FB69AC" w:rsidRDefault="00FB69AC" w:rsidP="00FB69AC">
      <w:pPr>
        <w:spacing w:before="120"/>
        <w:jc w:val="both"/>
        <w:rPr>
          <w:rFonts w:cs="Arial"/>
          <w:sz w:val="18"/>
          <w:szCs w:val="18"/>
        </w:rPr>
      </w:pPr>
      <w:r w:rsidRPr="00FB69AC">
        <w:rPr>
          <w:rFonts w:cs="Arial"/>
          <w:sz w:val="20"/>
          <w:szCs w:val="20"/>
        </w:rPr>
        <w:t>Fonte: Elaborado pelos autores.</w:t>
      </w:r>
    </w:p>
    <w:p w14:paraId="12CFA7FE" w14:textId="77777777" w:rsidR="00FB69AC" w:rsidRDefault="00FB69AC" w:rsidP="00FB69AC">
      <w:pPr>
        <w:spacing w:before="120"/>
        <w:ind w:firstLine="708"/>
        <w:jc w:val="both"/>
        <w:rPr>
          <w:rFonts w:cs="Arial"/>
        </w:rPr>
      </w:pPr>
      <w:r>
        <w:rPr>
          <w:rFonts w:cs="Arial"/>
        </w:rPr>
        <w:lastRenderedPageBreak/>
        <w:t xml:space="preserve"> Analisando as variáveis a partir da sequência apresentada na Tabela 1, nota-se que em relação ao valor mínimo e ao máximo do percentual adquirido da agricultura familiar (PNAE), a ausência de </w:t>
      </w:r>
      <w:r>
        <w:rPr>
          <w:rFonts w:cs="Arial"/>
          <w:i/>
          <w:iCs/>
        </w:rPr>
        <w:t>outliers</w:t>
      </w:r>
      <w:r>
        <w:rPr>
          <w:rFonts w:cs="Arial"/>
        </w:rPr>
        <w:t xml:space="preserve"> dos dados devido opção de retirar municípios com transferência de repasse superior a 100%, respeitando assim o valor transferido do ano vigente de 2017 para aquisição dos produtos da agricultura familiar. Sendo assim, o intervalo dessa variável ficou entre 0% e 99,1%. </w:t>
      </w:r>
    </w:p>
    <w:p w14:paraId="436C78B7" w14:textId="77777777" w:rsidR="00FB69AC" w:rsidRDefault="00FB69AC" w:rsidP="00FB69AC">
      <w:pPr>
        <w:spacing w:before="120"/>
        <w:ind w:firstLine="708"/>
        <w:jc w:val="both"/>
        <w:rPr>
          <w:rFonts w:cs="Arial"/>
        </w:rPr>
      </w:pPr>
      <w:r>
        <w:rPr>
          <w:rFonts w:cs="Arial"/>
        </w:rPr>
        <w:t>Considerando que a média do percentual de compras de gêneros da agricultura familiar é de 30,75% pelos municípios mineiros, nota-se que há um cumprimento da Lei 11.947/2009 que estipula que “do total dos recursos financeiros repassados pelo FNDE, no âmbito do PNAE, no mínimo 30% (trinta por cento) deverão ser utilizados na aquisição de gêneros alimentícios diretamente da agricultura familiar” (BRASIL, 2009, Art. 14). Contudo é preciso destacar que ainda existem 351 municípios que não cumprem com tal Lei, dado o percentual de aquisição da agricultura familiar inferior aos 30%, sendo que 81 desses, possuem percentual de aquisição de 0%.</w:t>
      </w:r>
    </w:p>
    <w:p w14:paraId="335FDC39" w14:textId="77777777" w:rsidR="00FB69AC" w:rsidRDefault="00FB69AC" w:rsidP="00FB69AC">
      <w:pPr>
        <w:spacing w:before="120"/>
        <w:ind w:firstLine="708"/>
        <w:jc w:val="both"/>
        <w:rPr>
          <w:rFonts w:cs="Arial"/>
        </w:rPr>
      </w:pPr>
      <w:r>
        <w:rPr>
          <w:rFonts w:cs="Arial"/>
        </w:rPr>
        <w:t xml:space="preserve"> A Tabela 1 revela que em média existem 546 estabelecimentos de agricultora familiar por município no estado de Minas Gerais (ESTAF), sendo o município que possui menos conta com 18 estabelecimentos (Simão Pereira, localizado na região da Zona da Mata) e o município que possuem mais, conta com 3645 (São Francisco, localizado no Norte de Minas). Essa discrepância de valores evidencia uma superestimação do número de estabelecimentos da agricultura familiar por município, refletido pelo alto desvio-padrão dos dados. </w:t>
      </w:r>
    </w:p>
    <w:p w14:paraId="7F904514" w14:textId="77777777" w:rsidR="00FB69AC" w:rsidRDefault="00FB69AC" w:rsidP="00FB69AC">
      <w:pPr>
        <w:spacing w:before="120"/>
        <w:ind w:firstLine="708"/>
        <w:jc w:val="both"/>
        <w:rPr>
          <w:rFonts w:cs="Arial"/>
        </w:rPr>
      </w:pPr>
      <w:r>
        <w:rPr>
          <w:rFonts w:cs="Arial"/>
        </w:rPr>
        <w:t xml:space="preserve">Em relação ao número de estabelecimentos que receberam assistência técnica por órgão governamental (ASSIGOV) seja federal, estadual ou municipal, nota-se que 28 estabelecimentos em média recebem a mesma, sendo o valor mínimo de 1 estabelecimento e o máximo 1004. Considerando que a assistência técnica é um dos fatores condicionantes para o desenvolvimento da agricultura familiar (BUAINAIN; SOUZA FILHO, 2006), percebe-se que apenas 9,39% dos estabelecimentos receberam tal assistência.  </w:t>
      </w:r>
    </w:p>
    <w:p w14:paraId="5CB71051" w14:textId="77777777" w:rsidR="00FB69AC" w:rsidRDefault="00FB69AC" w:rsidP="00FB69AC">
      <w:pPr>
        <w:spacing w:before="120"/>
        <w:ind w:firstLine="708"/>
        <w:jc w:val="both"/>
        <w:rPr>
          <w:rFonts w:cs="Arial"/>
        </w:rPr>
      </w:pPr>
      <w:r>
        <w:rPr>
          <w:rFonts w:cs="Arial"/>
        </w:rPr>
        <w:t>A respeito do valor adicional da agropecuária (VALORAD), nota-se que, em média a participação das atividades agropecuárias nos municípios é 15,95%. Vale ressaltar que esta variável considera o valor adicional das atividades agropecuárias de toda a produção, independente da categoria do produtor. Assim, nota-se que os municípios mineiros têm grande dependência das atividades agropecuárias para a definição do PIB municipal.</w:t>
      </w:r>
    </w:p>
    <w:p w14:paraId="75F9DD99" w14:textId="77777777" w:rsidR="00FB69AC" w:rsidRDefault="00FB69AC" w:rsidP="00FB69AC">
      <w:pPr>
        <w:spacing w:before="120"/>
        <w:ind w:firstLine="708"/>
        <w:jc w:val="both"/>
        <w:rPr>
          <w:rFonts w:cs="Arial"/>
        </w:rPr>
      </w:pPr>
      <w:r>
        <w:rPr>
          <w:rFonts w:cs="Arial"/>
        </w:rPr>
        <w:t xml:space="preserve">Por fim, nota-se que, em média 25 estabelecimentos possuem acesso ao crédito rural via PRONAF (PRONAF). Apesar de Cazalla et al., (2020) ter destacado que o PRONAF é a uma das políticas públicas da agricultura familiar com maior alcance nacional, realizando a divisão entre o número total de estabelecimento que solicitaram financiamento e o número total dos estabelecimentos agropecuários do estado, nota-se que apenas 8,95% solicitaram financiamento de crédito via PRONAF. </w:t>
      </w:r>
    </w:p>
    <w:p w14:paraId="0DB71F2F" w14:textId="77777777" w:rsidR="00FB69AC" w:rsidRDefault="00FB69AC" w:rsidP="00FB69AC">
      <w:pPr>
        <w:spacing w:before="120"/>
        <w:ind w:firstLine="708"/>
        <w:jc w:val="both"/>
        <w:rPr>
          <w:rFonts w:cs="Arial"/>
        </w:rPr>
      </w:pPr>
      <w:r>
        <w:rPr>
          <w:rFonts w:cs="Arial"/>
        </w:rPr>
        <w:t>Em relação à variável dependente (DAPJ) é possível constatar que, dos 776 municípios estudados apenas 183 (23,6%) possuem DAP Jurídica e 593 (76,4%) não possuem. Tais dados sinalizam necessidade de expansão do movimento cooperativista e associativista para maior articulação de produtores demandantes de tal declaração de forma coletiva.</w:t>
      </w:r>
    </w:p>
    <w:p w14:paraId="4534176E" w14:textId="77777777" w:rsidR="00FB69AC" w:rsidRDefault="00FB69AC" w:rsidP="00FB69AC">
      <w:pPr>
        <w:spacing w:before="120"/>
        <w:ind w:firstLine="708"/>
        <w:jc w:val="both"/>
        <w:rPr>
          <w:rFonts w:cs="Arial"/>
        </w:rPr>
      </w:pPr>
    </w:p>
    <w:p w14:paraId="7A73AA21" w14:textId="77777777" w:rsidR="00FB69AC" w:rsidRDefault="00FB69AC" w:rsidP="00FB69AC">
      <w:pPr>
        <w:spacing w:before="120"/>
        <w:jc w:val="both"/>
        <w:rPr>
          <w:rFonts w:cs="Arial"/>
          <w:b/>
          <w:bCs/>
        </w:rPr>
      </w:pPr>
      <w:bookmarkStart w:id="6" w:name="_Toc99191370"/>
      <w:r>
        <w:rPr>
          <w:rFonts w:cs="Arial"/>
          <w:b/>
          <w:bCs/>
        </w:rPr>
        <w:lastRenderedPageBreak/>
        <w:t>4.2 Análise do modelo de regressão</w:t>
      </w:r>
      <w:bookmarkEnd w:id="6"/>
      <w:r>
        <w:rPr>
          <w:rFonts w:cs="Arial"/>
          <w:b/>
          <w:bCs/>
        </w:rPr>
        <w:t xml:space="preserve"> e estimação dos coeficientes</w:t>
      </w:r>
    </w:p>
    <w:p w14:paraId="4252A5A8" w14:textId="77777777" w:rsidR="00FB69AC" w:rsidRDefault="00FB69AC" w:rsidP="00FB69AC">
      <w:pPr>
        <w:spacing w:before="120"/>
        <w:ind w:firstLine="708"/>
        <w:jc w:val="both"/>
        <w:rPr>
          <w:rFonts w:cs="Arial"/>
        </w:rPr>
      </w:pPr>
      <w:r>
        <w:rPr>
          <w:rFonts w:cs="Arial"/>
        </w:rPr>
        <w:t xml:space="preserve">Após a escolha das variáveis foram realizados testes a priori para verificar ausências de problemas como o de multicolinariedade entre as variáveis. Para tal fato, utilizou-se o teste de correlação das variáveis e o teste do fator de inflação da variância (VIF). </w:t>
      </w:r>
    </w:p>
    <w:p w14:paraId="77A9E6A2" w14:textId="77777777" w:rsidR="00FB69AC" w:rsidRDefault="00FB69AC" w:rsidP="00FB69AC">
      <w:pPr>
        <w:spacing w:before="120"/>
        <w:ind w:firstLine="708"/>
        <w:jc w:val="both"/>
        <w:rPr>
          <w:rFonts w:cs="Arial"/>
        </w:rPr>
      </w:pPr>
      <w:r>
        <w:rPr>
          <w:rFonts w:cs="Arial"/>
        </w:rPr>
        <w:t>Como primeiro passo, foi realizado a estimativa dos coeficientes de correlação das variáveis para não incorrer problemas de multicolinariedade. Foram analisados os coeficientes de correlação de Pearson. De acordo com Senaviratna e Cooray (2019), os coeficientes de correlação devem possuir r &lt; 0.80 ou 0.90. Diante disso, a Figura 1 expressa a correlação entre as variáveis independentes do modelo.</w:t>
      </w:r>
    </w:p>
    <w:p w14:paraId="4C01D56E" w14:textId="2B040949" w:rsidR="00FB69AC" w:rsidRDefault="00FB69AC" w:rsidP="00FB69AC">
      <w:pPr>
        <w:spacing w:before="120"/>
        <w:jc w:val="both"/>
        <w:rPr>
          <w:rFonts w:cs="Arial"/>
          <w:b/>
          <w:bCs/>
          <w:sz w:val="22"/>
          <w:szCs w:val="22"/>
        </w:rPr>
      </w:pPr>
      <w:r>
        <w:rPr>
          <w:rFonts w:cs="Arial"/>
          <w:b/>
          <w:bCs/>
        </w:rPr>
        <w:t xml:space="preserve">Figura 1 – Correlação </w:t>
      </w:r>
      <w:r w:rsidR="00152D03">
        <w:rPr>
          <w:rFonts w:cs="Arial"/>
          <w:b/>
          <w:bCs/>
        </w:rPr>
        <w:t>entre as</w:t>
      </w:r>
      <w:r>
        <w:rPr>
          <w:rFonts w:cs="Arial"/>
          <w:b/>
          <w:bCs/>
        </w:rPr>
        <w:t xml:space="preserve"> variáveis</w:t>
      </w:r>
    </w:p>
    <w:p w14:paraId="7D65AB1C" w14:textId="328BBE7B" w:rsidR="00FB69AC" w:rsidRDefault="00FB69AC" w:rsidP="00FB69AC">
      <w:pPr>
        <w:spacing w:before="120"/>
        <w:jc w:val="center"/>
        <w:rPr>
          <w:rFonts w:cs="Arial"/>
        </w:rPr>
      </w:pPr>
      <w:r>
        <w:rPr>
          <w:rFonts w:cs="Arial"/>
          <w:noProof/>
        </w:rPr>
        <w:drawing>
          <wp:inline distT="0" distB="0" distL="0" distR="0" wp14:anchorId="2A829056" wp14:editId="35E1CD3F">
            <wp:extent cx="4114800" cy="2941320"/>
            <wp:effectExtent l="0" t="0" r="0" b="0"/>
            <wp:docPr id="3" name="Imagem 3" descr="Calend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alendário&#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l="2818" t="4092" r="2963" b="3693"/>
                    <a:stretch>
                      <a:fillRect/>
                    </a:stretch>
                  </pic:blipFill>
                  <pic:spPr bwMode="auto">
                    <a:xfrm>
                      <a:off x="0" y="0"/>
                      <a:ext cx="4114800" cy="2941320"/>
                    </a:xfrm>
                    <a:prstGeom prst="rect">
                      <a:avLst/>
                    </a:prstGeom>
                    <a:noFill/>
                    <a:ln>
                      <a:noFill/>
                    </a:ln>
                  </pic:spPr>
                </pic:pic>
              </a:graphicData>
            </a:graphic>
          </wp:inline>
        </w:drawing>
      </w:r>
    </w:p>
    <w:p w14:paraId="40623C52" w14:textId="77777777" w:rsidR="00FB69AC" w:rsidRPr="00FB69AC" w:rsidRDefault="00FB69AC" w:rsidP="00FB69AC">
      <w:pPr>
        <w:spacing w:before="120"/>
        <w:jc w:val="both"/>
        <w:rPr>
          <w:rFonts w:cs="Arial"/>
          <w:sz w:val="20"/>
          <w:szCs w:val="20"/>
        </w:rPr>
      </w:pPr>
      <w:r w:rsidRPr="00FB69AC">
        <w:rPr>
          <w:rFonts w:cs="Arial"/>
          <w:sz w:val="20"/>
          <w:szCs w:val="20"/>
        </w:rPr>
        <w:t>Fonte: Elaborado pelos autores a partir do RStudio.</w:t>
      </w:r>
    </w:p>
    <w:p w14:paraId="13B0E60A" w14:textId="77777777" w:rsidR="00FB69AC" w:rsidRDefault="00FB69AC" w:rsidP="00FB69AC">
      <w:pPr>
        <w:spacing w:before="120"/>
        <w:ind w:firstLine="708"/>
        <w:jc w:val="both"/>
        <w:rPr>
          <w:rFonts w:cs="Arial"/>
        </w:rPr>
      </w:pPr>
      <w:r>
        <w:rPr>
          <w:rFonts w:cs="Arial"/>
        </w:rPr>
        <w:t xml:space="preserve">Pelo Exposto na Figura 1 é possível notar que todas as variáveis apresentam correlação abaixo do valor de referência, então o modelo não apresenta problemas de correlação entre si. </w:t>
      </w:r>
    </w:p>
    <w:p w14:paraId="0475D5B8" w14:textId="77777777" w:rsidR="00FB69AC" w:rsidRDefault="00FB69AC" w:rsidP="00FB69AC">
      <w:pPr>
        <w:spacing w:before="120"/>
        <w:ind w:firstLine="708"/>
        <w:jc w:val="both"/>
        <w:rPr>
          <w:rFonts w:cs="Arial"/>
        </w:rPr>
      </w:pPr>
      <w:r>
        <w:rPr>
          <w:rFonts w:cs="Arial"/>
        </w:rPr>
        <w:t xml:space="preserve">Seguindo os testes de verificação de multicolinariedade, realizou-se o teste do fator de inflação da variância - </w:t>
      </w:r>
      <w:r>
        <w:rPr>
          <w:rFonts w:cs="Arial"/>
          <w:i/>
          <w:iCs/>
        </w:rPr>
        <w:t>Variance Inflation Factor,</w:t>
      </w:r>
      <w:r>
        <w:rPr>
          <w:rFonts w:cs="Arial"/>
        </w:rPr>
        <w:t xml:space="preserve"> na qual deve apresentar um VIF&lt;10 segundo Rawlings et al., (1998). A Tabela 2 apresenta os valores encontrado do teste VIF, cumprindo o requisito de ajustamento, sem a presença de multicolinariedade.</w:t>
      </w:r>
    </w:p>
    <w:p w14:paraId="37949D48" w14:textId="77777777" w:rsidR="00FB69AC" w:rsidRDefault="00FB69AC" w:rsidP="00FB69AC">
      <w:pPr>
        <w:spacing w:before="120"/>
        <w:jc w:val="both"/>
        <w:rPr>
          <w:rFonts w:cs="Arial"/>
          <w:b/>
          <w:bCs/>
          <w:sz w:val="22"/>
          <w:szCs w:val="22"/>
        </w:rPr>
      </w:pPr>
      <w:r>
        <w:rPr>
          <w:rFonts w:cs="Arial"/>
          <w:b/>
          <w:bCs/>
        </w:rPr>
        <w:t>Tabela 2 – Teste do Fator da Inflação da Variância</w:t>
      </w:r>
    </w:p>
    <w:tbl>
      <w:tblPr>
        <w:tblW w:w="5000" w:type="pct"/>
        <w:jc w:val="center"/>
        <w:tblBorders>
          <w:top w:val="single" w:sz="4" w:space="0" w:color="7F7F7F"/>
          <w:bottom w:val="single" w:sz="4" w:space="0" w:color="7F7F7F"/>
        </w:tblBorders>
        <w:tblLook w:val="04A0" w:firstRow="1" w:lastRow="0" w:firstColumn="1" w:lastColumn="0" w:noHBand="0" w:noVBand="1"/>
      </w:tblPr>
      <w:tblGrid>
        <w:gridCol w:w="1274"/>
        <w:gridCol w:w="2266"/>
        <w:gridCol w:w="2048"/>
        <w:gridCol w:w="2423"/>
        <w:gridCol w:w="1061"/>
      </w:tblGrid>
      <w:tr w:rsidR="00FB69AC" w:rsidRPr="00FB69AC" w14:paraId="16943E57" w14:textId="77777777" w:rsidTr="00FB69AC">
        <w:trPr>
          <w:trHeight w:val="325"/>
          <w:jc w:val="center"/>
        </w:trPr>
        <w:tc>
          <w:tcPr>
            <w:tcW w:w="703" w:type="pct"/>
            <w:tcBorders>
              <w:top w:val="single" w:sz="4" w:space="0" w:color="7F7F7F"/>
              <w:left w:val="nil"/>
              <w:bottom w:val="single" w:sz="4" w:space="0" w:color="7F7F7F"/>
              <w:right w:val="nil"/>
            </w:tcBorders>
            <w:noWrap/>
            <w:hideMark/>
          </w:tcPr>
          <w:p w14:paraId="5B6297CA" w14:textId="77777777" w:rsidR="00FB69AC" w:rsidRPr="00FB69AC" w:rsidRDefault="00FB69AC">
            <w:pPr>
              <w:spacing w:before="120"/>
              <w:ind w:hanging="247"/>
              <w:jc w:val="center"/>
              <w:rPr>
                <w:rFonts w:cs="Arial"/>
                <w:b/>
                <w:bCs/>
                <w:sz w:val="20"/>
                <w:szCs w:val="20"/>
              </w:rPr>
            </w:pPr>
            <w:r w:rsidRPr="00FB69AC">
              <w:rPr>
                <w:rFonts w:cs="Arial"/>
                <w:b/>
                <w:bCs/>
                <w:sz w:val="20"/>
                <w:szCs w:val="20"/>
              </w:rPr>
              <w:t>PNAE</w:t>
            </w:r>
          </w:p>
        </w:tc>
        <w:tc>
          <w:tcPr>
            <w:tcW w:w="1250" w:type="pct"/>
            <w:tcBorders>
              <w:top w:val="single" w:sz="4" w:space="0" w:color="7F7F7F"/>
              <w:left w:val="nil"/>
              <w:bottom w:val="single" w:sz="4" w:space="0" w:color="7F7F7F"/>
              <w:right w:val="nil"/>
            </w:tcBorders>
            <w:noWrap/>
            <w:hideMark/>
          </w:tcPr>
          <w:p w14:paraId="706608E8" w14:textId="77777777" w:rsidR="00FB69AC" w:rsidRPr="00FB69AC" w:rsidRDefault="00FB69AC">
            <w:pPr>
              <w:spacing w:before="120"/>
              <w:ind w:firstLine="552"/>
              <w:jc w:val="center"/>
              <w:rPr>
                <w:rFonts w:cs="Arial"/>
                <w:b/>
                <w:bCs/>
                <w:sz w:val="20"/>
                <w:szCs w:val="20"/>
              </w:rPr>
            </w:pPr>
            <w:r w:rsidRPr="00FB69AC">
              <w:rPr>
                <w:rFonts w:cs="Arial"/>
                <w:b/>
                <w:bCs/>
                <w:sz w:val="20"/>
                <w:szCs w:val="20"/>
              </w:rPr>
              <w:t>ESTAF</w:t>
            </w:r>
          </w:p>
        </w:tc>
        <w:tc>
          <w:tcPr>
            <w:tcW w:w="1130" w:type="pct"/>
            <w:tcBorders>
              <w:top w:val="single" w:sz="4" w:space="0" w:color="7F7F7F"/>
              <w:left w:val="nil"/>
              <w:bottom w:val="single" w:sz="4" w:space="0" w:color="7F7F7F"/>
              <w:right w:val="nil"/>
            </w:tcBorders>
            <w:noWrap/>
            <w:hideMark/>
          </w:tcPr>
          <w:p w14:paraId="15709509" w14:textId="77777777" w:rsidR="00FB69AC" w:rsidRPr="00FB69AC" w:rsidRDefault="00FB69AC">
            <w:pPr>
              <w:spacing w:before="120"/>
              <w:jc w:val="center"/>
              <w:rPr>
                <w:rFonts w:cs="Arial"/>
                <w:b/>
                <w:bCs/>
                <w:sz w:val="20"/>
                <w:szCs w:val="20"/>
              </w:rPr>
            </w:pPr>
            <w:r w:rsidRPr="00FB69AC">
              <w:rPr>
                <w:rFonts w:cs="Arial"/>
                <w:b/>
                <w:bCs/>
                <w:sz w:val="20"/>
                <w:szCs w:val="20"/>
              </w:rPr>
              <w:t>ASSIGOV</w:t>
            </w:r>
          </w:p>
        </w:tc>
        <w:tc>
          <w:tcPr>
            <w:tcW w:w="1336" w:type="pct"/>
            <w:tcBorders>
              <w:top w:val="single" w:sz="4" w:space="0" w:color="7F7F7F"/>
              <w:left w:val="nil"/>
              <w:bottom w:val="single" w:sz="4" w:space="0" w:color="7F7F7F"/>
              <w:right w:val="nil"/>
            </w:tcBorders>
            <w:noWrap/>
            <w:hideMark/>
          </w:tcPr>
          <w:p w14:paraId="1B122B5A" w14:textId="77777777" w:rsidR="00FB69AC" w:rsidRPr="00FB69AC" w:rsidRDefault="00FB69AC">
            <w:pPr>
              <w:spacing w:before="120"/>
              <w:jc w:val="center"/>
              <w:rPr>
                <w:rFonts w:cs="Arial"/>
                <w:b/>
                <w:bCs/>
                <w:sz w:val="20"/>
                <w:szCs w:val="20"/>
              </w:rPr>
            </w:pPr>
            <w:r w:rsidRPr="00FB69AC">
              <w:rPr>
                <w:rFonts w:cs="Arial"/>
                <w:b/>
                <w:bCs/>
                <w:sz w:val="20"/>
                <w:szCs w:val="20"/>
              </w:rPr>
              <w:t>VALORAD</w:t>
            </w:r>
          </w:p>
        </w:tc>
        <w:tc>
          <w:tcPr>
            <w:tcW w:w="580" w:type="pct"/>
            <w:tcBorders>
              <w:top w:val="single" w:sz="4" w:space="0" w:color="7F7F7F"/>
              <w:left w:val="nil"/>
              <w:bottom w:val="single" w:sz="4" w:space="0" w:color="7F7F7F"/>
              <w:right w:val="nil"/>
            </w:tcBorders>
            <w:noWrap/>
            <w:hideMark/>
          </w:tcPr>
          <w:p w14:paraId="2315CE33" w14:textId="77777777" w:rsidR="00FB69AC" w:rsidRPr="00FB69AC" w:rsidRDefault="00FB69AC">
            <w:pPr>
              <w:spacing w:before="120"/>
              <w:jc w:val="center"/>
              <w:rPr>
                <w:rFonts w:cs="Arial"/>
                <w:b/>
                <w:bCs/>
                <w:sz w:val="20"/>
                <w:szCs w:val="20"/>
              </w:rPr>
            </w:pPr>
            <w:r w:rsidRPr="00FB69AC">
              <w:rPr>
                <w:rFonts w:cs="Arial"/>
                <w:b/>
                <w:bCs/>
                <w:sz w:val="20"/>
                <w:szCs w:val="20"/>
              </w:rPr>
              <w:t>PRONAF</w:t>
            </w:r>
          </w:p>
        </w:tc>
      </w:tr>
      <w:tr w:rsidR="00FB69AC" w:rsidRPr="00FB69AC" w14:paraId="47DCF804" w14:textId="77777777" w:rsidTr="00FB69AC">
        <w:trPr>
          <w:trHeight w:val="288"/>
          <w:jc w:val="center"/>
        </w:trPr>
        <w:tc>
          <w:tcPr>
            <w:tcW w:w="703" w:type="pct"/>
            <w:tcBorders>
              <w:top w:val="nil"/>
              <w:left w:val="nil"/>
              <w:bottom w:val="single" w:sz="4" w:space="0" w:color="7F7F7F"/>
              <w:right w:val="nil"/>
            </w:tcBorders>
            <w:noWrap/>
            <w:hideMark/>
          </w:tcPr>
          <w:p w14:paraId="502851D7" w14:textId="77777777" w:rsidR="00FB69AC" w:rsidRPr="00FB69AC" w:rsidRDefault="00FB69AC">
            <w:pPr>
              <w:spacing w:before="120"/>
              <w:ind w:hanging="247"/>
              <w:jc w:val="center"/>
              <w:rPr>
                <w:rFonts w:cs="Arial"/>
                <w:sz w:val="20"/>
                <w:szCs w:val="20"/>
              </w:rPr>
            </w:pPr>
            <w:r w:rsidRPr="00FB69AC">
              <w:rPr>
                <w:rFonts w:cs="Arial"/>
                <w:sz w:val="20"/>
                <w:szCs w:val="20"/>
              </w:rPr>
              <w:t>1</w:t>
            </w:r>
          </w:p>
        </w:tc>
        <w:tc>
          <w:tcPr>
            <w:tcW w:w="1250" w:type="pct"/>
            <w:tcBorders>
              <w:top w:val="nil"/>
              <w:left w:val="nil"/>
              <w:bottom w:val="single" w:sz="4" w:space="0" w:color="7F7F7F"/>
              <w:right w:val="nil"/>
            </w:tcBorders>
            <w:noWrap/>
            <w:hideMark/>
          </w:tcPr>
          <w:p w14:paraId="35D894D3" w14:textId="77777777" w:rsidR="00FB69AC" w:rsidRPr="00FB69AC" w:rsidRDefault="00FB69AC">
            <w:pPr>
              <w:spacing w:before="120"/>
              <w:ind w:firstLine="708"/>
              <w:jc w:val="center"/>
              <w:rPr>
                <w:rFonts w:cs="Arial"/>
                <w:sz w:val="20"/>
                <w:szCs w:val="20"/>
              </w:rPr>
            </w:pPr>
            <w:r w:rsidRPr="00FB69AC">
              <w:rPr>
                <w:rFonts w:cs="Arial"/>
                <w:sz w:val="20"/>
                <w:szCs w:val="20"/>
              </w:rPr>
              <w:t>2,59</w:t>
            </w:r>
          </w:p>
        </w:tc>
        <w:tc>
          <w:tcPr>
            <w:tcW w:w="1130" w:type="pct"/>
            <w:tcBorders>
              <w:top w:val="nil"/>
              <w:left w:val="nil"/>
              <w:bottom w:val="single" w:sz="4" w:space="0" w:color="7F7F7F"/>
              <w:right w:val="nil"/>
            </w:tcBorders>
            <w:noWrap/>
            <w:hideMark/>
          </w:tcPr>
          <w:p w14:paraId="50D235D2" w14:textId="77777777" w:rsidR="00FB69AC" w:rsidRPr="00FB69AC" w:rsidRDefault="00FB69AC">
            <w:pPr>
              <w:spacing w:before="120"/>
              <w:ind w:firstLine="708"/>
              <w:jc w:val="center"/>
              <w:rPr>
                <w:rFonts w:cs="Arial"/>
                <w:sz w:val="20"/>
                <w:szCs w:val="20"/>
              </w:rPr>
            </w:pPr>
            <w:r w:rsidRPr="00FB69AC">
              <w:rPr>
                <w:rFonts w:cs="Arial"/>
                <w:sz w:val="20"/>
                <w:szCs w:val="20"/>
              </w:rPr>
              <w:t>1,12</w:t>
            </w:r>
          </w:p>
        </w:tc>
        <w:tc>
          <w:tcPr>
            <w:tcW w:w="1336" w:type="pct"/>
            <w:tcBorders>
              <w:top w:val="nil"/>
              <w:left w:val="nil"/>
              <w:bottom w:val="single" w:sz="4" w:space="0" w:color="7F7F7F"/>
              <w:right w:val="nil"/>
            </w:tcBorders>
            <w:noWrap/>
            <w:hideMark/>
          </w:tcPr>
          <w:p w14:paraId="2B67AAF5" w14:textId="77777777" w:rsidR="00FB69AC" w:rsidRPr="00FB69AC" w:rsidRDefault="00FB69AC">
            <w:pPr>
              <w:spacing w:before="120"/>
              <w:ind w:firstLine="708"/>
              <w:jc w:val="center"/>
              <w:rPr>
                <w:rFonts w:cs="Arial"/>
                <w:sz w:val="20"/>
                <w:szCs w:val="20"/>
              </w:rPr>
            </w:pPr>
            <w:r w:rsidRPr="00FB69AC">
              <w:rPr>
                <w:rFonts w:cs="Arial"/>
                <w:sz w:val="20"/>
                <w:szCs w:val="20"/>
              </w:rPr>
              <w:t>1,01</w:t>
            </w:r>
          </w:p>
        </w:tc>
        <w:tc>
          <w:tcPr>
            <w:tcW w:w="580" w:type="pct"/>
            <w:tcBorders>
              <w:top w:val="nil"/>
              <w:left w:val="nil"/>
              <w:bottom w:val="single" w:sz="4" w:space="0" w:color="7F7F7F"/>
              <w:right w:val="nil"/>
            </w:tcBorders>
            <w:noWrap/>
            <w:hideMark/>
          </w:tcPr>
          <w:p w14:paraId="43164189" w14:textId="77777777" w:rsidR="00FB69AC" w:rsidRPr="00FB69AC" w:rsidRDefault="00FB69AC">
            <w:pPr>
              <w:spacing w:before="120"/>
              <w:jc w:val="center"/>
              <w:rPr>
                <w:rFonts w:cs="Arial"/>
                <w:sz w:val="20"/>
                <w:szCs w:val="20"/>
              </w:rPr>
            </w:pPr>
            <w:r w:rsidRPr="00FB69AC">
              <w:rPr>
                <w:rFonts w:cs="Arial"/>
                <w:sz w:val="20"/>
                <w:szCs w:val="20"/>
              </w:rPr>
              <w:t>2,63</w:t>
            </w:r>
          </w:p>
        </w:tc>
      </w:tr>
    </w:tbl>
    <w:p w14:paraId="032383BA" w14:textId="77777777" w:rsidR="00FB69AC" w:rsidRPr="00FB69AC" w:rsidRDefault="00FB69AC" w:rsidP="00FB69AC">
      <w:pPr>
        <w:spacing w:before="120"/>
        <w:jc w:val="both"/>
        <w:rPr>
          <w:rFonts w:cs="Arial"/>
          <w:sz w:val="18"/>
          <w:szCs w:val="18"/>
        </w:rPr>
      </w:pPr>
      <w:r w:rsidRPr="00FB69AC">
        <w:rPr>
          <w:rFonts w:cs="Arial"/>
          <w:sz w:val="20"/>
          <w:szCs w:val="20"/>
        </w:rPr>
        <w:t xml:space="preserve">Fonte: Elaborado pelos autores </w:t>
      </w:r>
    </w:p>
    <w:p w14:paraId="04813AFC" w14:textId="77777777" w:rsidR="00FB69AC" w:rsidRDefault="00FB69AC" w:rsidP="00FB69AC">
      <w:pPr>
        <w:spacing w:before="120"/>
        <w:ind w:firstLine="708"/>
        <w:jc w:val="both"/>
        <w:rPr>
          <w:rFonts w:cs="Arial"/>
        </w:rPr>
      </w:pPr>
      <w:r>
        <w:rPr>
          <w:rFonts w:cs="Arial"/>
        </w:rPr>
        <w:t>Para o ajuste de qualidade do modelo de regressão logística foi realizado o teste do Pseudo R</w:t>
      </w:r>
      <w:r>
        <w:rPr>
          <w:rFonts w:cs="Arial"/>
          <w:vertAlign w:val="superscript"/>
        </w:rPr>
        <w:t>2</w:t>
      </w:r>
      <w:r>
        <w:rPr>
          <w:rFonts w:cs="Arial"/>
        </w:rPr>
        <w:t xml:space="preserve"> McFadden e Pseudo R</w:t>
      </w:r>
      <w:r>
        <w:rPr>
          <w:rFonts w:cs="Arial"/>
          <w:vertAlign w:val="superscript"/>
        </w:rPr>
        <w:t>2</w:t>
      </w:r>
      <w:r>
        <w:rPr>
          <w:rFonts w:cs="Arial"/>
        </w:rPr>
        <w:t xml:space="preserve"> Cragg-Uhler. Para bom ajustamento no Pseudo R</w:t>
      </w:r>
      <w:r>
        <w:rPr>
          <w:rFonts w:cs="Arial"/>
          <w:vertAlign w:val="superscript"/>
        </w:rPr>
        <w:t>2</w:t>
      </w:r>
      <w:r>
        <w:rPr>
          <w:rFonts w:cs="Arial"/>
        </w:rPr>
        <w:t xml:space="preserve"> de McFadden, o valor de 0,2 é considerado excelente para ajuste do modelo. Neste caso o valor encontrado é de 0,12, próximo do considerado e por isso </w:t>
      </w:r>
      <w:r>
        <w:rPr>
          <w:rFonts w:cs="Arial"/>
        </w:rPr>
        <w:lastRenderedPageBreak/>
        <w:t>não se exclui a hipótese de ser um bom modelo. Já para o Pseudo R</w:t>
      </w:r>
      <w:r>
        <w:rPr>
          <w:rFonts w:cs="Arial"/>
          <w:vertAlign w:val="superscript"/>
        </w:rPr>
        <w:t>2</w:t>
      </w:r>
      <w:r>
        <w:rPr>
          <w:rFonts w:cs="Arial"/>
        </w:rPr>
        <w:t xml:space="preserve"> de Cragg-Uhler sugere que seja maior que 0,1, no caso o valor encontrado é superior 0,19 (DATA SCIENCE TOPICS, 2022). </w:t>
      </w:r>
    </w:p>
    <w:p w14:paraId="6CC082CE" w14:textId="77777777" w:rsidR="00FB69AC" w:rsidRDefault="00FB69AC" w:rsidP="00FB69AC">
      <w:pPr>
        <w:spacing w:before="120"/>
        <w:ind w:firstLine="708"/>
        <w:jc w:val="both"/>
        <w:rPr>
          <w:rFonts w:cs="Arial"/>
        </w:rPr>
      </w:pPr>
      <w:r>
        <w:rPr>
          <w:rFonts w:cs="Arial"/>
        </w:rPr>
        <w:t xml:space="preserve">Seguindo a verificação dos pressupostos do modelo, verificou se existe a presença de </w:t>
      </w:r>
      <w:r>
        <w:rPr>
          <w:rFonts w:cs="Arial"/>
          <w:i/>
          <w:iCs/>
        </w:rPr>
        <w:t>outliers</w:t>
      </w:r>
      <w:r>
        <w:rPr>
          <w:rFonts w:cs="Arial"/>
        </w:rPr>
        <w:t xml:space="preserve"> ou pontos de alavancagem. Foi possível constatar a ausências de </w:t>
      </w:r>
      <w:r>
        <w:rPr>
          <w:rFonts w:cs="Arial"/>
          <w:i/>
          <w:iCs/>
        </w:rPr>
        <w:t>outliers</w:t>
      </w:r>
      <w:r>
        <w:rPr>
          <w:rFonts w:cs="Arial"/>
        </w:rPr>
        <w:t xml:space="preserve"> no modelo. Além disso, os resíduos estão seguindo comportamento linear da linha pontilhada. Em relação ao ponto de alavancagem, o parâmetro utilizado é que estejam entre -3 e 3, o modelo estimado ficou entre -2,35 e 3,43 sendo apenas o ponto de alavancagem um pouco acima, não tornando o modelo enviesado, neste caso.</w:t>
      </w:r>
    </w:p>
    <w:p w14:paraId="3066FE95" w14:textId="77777777" w:rsidR="00FB69AC" w:rsidRDefault="00FB69AC" w:rsidP="00FB69AC">
      <w:pPr>
        <w:spacing w:before="120"/>
        <w:ind w:firstLine="708"/>
        <w:jc w:val="both"/>
        <w:rPr>
          <w:rFonts w:cs="Arial"/>
        </w:rPr>
      </w:pPr>
      <w:r>
        <w:rPr>
          <w:rFonts w:cs="Arial"/>
        </w:rPr>
        <w:t xml:space="preserve">Como dito anteriormente, o método indicado para realização da regressão logística binomial é a Máximo verossimilhança. Segundo Gujarati e Porter (2011), o método de máximo verossimilhança equivale o teste F da regressão linear. Assim, para execução desse método criou-se o modelo nulo, apenas com a variável DAP Jurídica e criando modelos de comparação planejada, excluindo cada variável para explicar a sua significância para o modelo. Por meio da significância do qui-quadrado é possível analisar se a variável possui tal importância no modelo com base nas seguintes hipóteses: A hipótese nula, em que todos os coeficientes são simultaneamente iguais a zero e, hipótese alternativa que todos os coeficientes são diferentes de zero. A Tabela 3 expressa os modelos de comparação com as significâncias. </w:t>
      </w:r>
    </w:p>
    <w:p w14:paraId="7A415817" w14:textId="77777777" w:rsidR="00FB69AC" w:rsidRDefault="00FB69AC" w:rsidP="00FB69AC">
      <w:pPr>
        <w:spacing w:before="120"/>
        <w:jc w:val="both"/>
        <w:rPr>
          <w:rFonts w:cs="Arial"/>
          <w:b/>
          <w:bCs/>
          <w:sz w:val="22"/>
          <w:szCs w:val="22"/>
        </w:rPr>
      </w:pPr>
      <w:r>
        <w:rPr>
          <w:rFonts w:cs="Arial"/>
          <w:b/>
          <w:bCs/>
        </w:rPr>
        <w:t>Tabela 3 – Estimativa por Máximo verossimilhança com o modelo nulo</w:t>
      </w:r>
    </w:p>
    <w:tbl>
      <w:tblPr>
        <w:tblW w:w="5000" w:type="pct"/>
        <w:jc w:val="center"/>
        <w:tblBorders>
          <w:top w:val="single" w:sz="4" w:space="0" w:color="7F7F7F"/>
          <w:bottom w:val="single" w:sz="4" w:space="0" w:color="7F7F7F"/>
        </w:tblBorders>
        <w:tblLook w:val="04A0" w:firstRow="1" w:lastRow="0" w:firstColumn="1" w:lastColumn="0" w:noHBand="0" w:noVBand="1"/>
      </w:tblPr>
      <w:tblGrid>
        <w:gridCol w:w="3223"/>
        <w:gridCol w:w="1162"/>
        <w:gridCol w:w="1706"/>
        <w:gridCol w:w="2981"/>
      </w:tblGrid>
      <w:tr w:rsidR="00FB69AC" w:rsidRPr="00FB69AC" w14:paraId="39ADD8CF" w14:textId="77777777" w:rsidTr="00FB69AC">
        <w:trPr>
          <w:trHeight w:val="212"/>
          <w:jc w:val="center"/>
        </w:trPr>
        <w:tc>
          <w:tcPr>
            <w:tcW w:w="2163" w:type="pct"/>
            <w:tcBorders>
              <w:top w:val="single" w:sz="4" w:space="0" w:color="7F7F7F"/>
              <w:left w:val="nil"/>
              <w:bottom w:val="single" w:sz="4" w:space="0" w:color="7F7F7F"/>
              <w:right w:val="nil"/>
            </w:tcBorders>
            <w:noWrap/>
            <w:hideMark/>
          </w:tcPr>
          <w:p w14:paraId="37DD72E0" w14:textId="77777777" w:rsidR="00FB69AC" w:rsidRPr="00FB69AC" w:rsidRDefault="00FB69AC">
            <w:pPr>
              <w:spacing w:before="120"/>
              <w:jc w:val="both"/>
              <w:rPr>
                <w:rFonts w:cs="Arial"/>
                <w:b/>
                <w:bCs/>
                <w:sz w:val="20"/>
                <w:szCs w:val="20"/>
              </w:rPr>
            </w:pPr>
            <w:r w:rsidRPr="00FB69AC">
              <w:rPr>
                <w:rFonts w:cs="Arial"/>
                <w:b/>
                <w:bCs/>
                <w:sz w:val="20"/>
                <w:szCs w:val="20"/>
              </w:rPr>
              <w:t>Variáveis</w:t>
            </w:r>
          </w:p>
        </w:tc>
        <w:tc>
          <w:tcPr>
            <w:tcW w:w="868" w:type="pct"/>
            <w:tcBorders>
              <w:top w:val="single" w:sz="4" w:space="0" w:color="7F7F7F"/>
              <w:left w:val="nil"/>
              <w:bottom w:val="single" w:sz="4" w:space="0" w:color="7F7F7F"/>
              <w:right w:val="nil"/>
            </w:tcBorders>
            <w:noWrap/>
            <w:hideMark/>
          </w:tcPr>
          <w:p w14:paraId="458CD36A" w14:textId="77777777" w:rsidR="00FB69AC" w:rsidRPr="00FB69AC" w:rsidRDefault="00FB69AC">
            <w:pPr>
              <w:spacing w:before="120"/>
              <w:jc w:val="both"/>
              <w:rPr>
                <w:rFonts w:cs="Arial"/>
                <w:b/>
                <w:bCs/>
                <w:sz w:val="20"/>
                <w:szCs w:val="20"/>
              </w:rPr>
            </w:pPr>
            <w:r w:rsidRPr="00FB69AC">
              <w:rPr>
                <w:rFonts w:cs="Arial"/>
                <w:b/>
                <w:bCs/>
                <w:sz w:val="20"/>
                <w:szCs w:val="20"/>
              </w:rPr>
              <w:t>p-valor</w:t>
            </w:r>
          </w:p>
        </w:tc>
        <w:tc>
          <w:tcPr>
            <w:tcW w:w="1067" w:type="pct"/>
            <w:tcBorders>
              <w:top w:val="single" w:sz="4" w:space="0" w:color="7F7F7F"/>
              <w:left w:val="nil"/>
              <w:bottom w:val="single" w:sz="4" w:space="0" w:color="7F7F7F"/>
              <w:right w:val="nil"/>
            </w:tcBorders>
            <w:noWrap/>
            <w:hideMark/>
          </w:tcPr>
          <w:p w14:paraId="469773C2" w14:textId="77777777" w:rsidR="00FB69AC" w:rsidRPr="00FB69AC" w:rsidRDefault="00FB69AC">
            <w:pPr>
              <w:spacing w:before="120"/>
              <w:jc w:val="both"/>
              <w:rPr>
                <w:rFonts w:cs="Arial"/>
                <w:b/>
                <w:bCs/>
                <w:sz w:val="20"/>
                <w:szCs w:val="20"/>
              </w:rPr>
            </w:pPr>
            <w:r w:rsidRPr="00FB69AC">
              <w:rPr>
                <w:rFonts w:cs="Arial"/>
                <w:b/>
                <w:bCs/>
                <w:sz w:val="20"/>
                <w:szCs w:val="20"/>
              </w:rPr>
              <w:t>Descrição</w:t>
            </w:r>
          </w:p>
        </w:tc>
        <w:tc>
          <w:tcPr>
            <w:tcW w:w="902" w:type="pct"/>
            <w:tcBorders>
              <w:top w:val="single" w:sz="4" w:space="0" w:color="7F7F7F"/>
              <w:left w:val="nil"/>
              <w:bottom w:val="single" w:sz="4" w:space="0" w:color="7F7F7F"/>
              <w:right w:val="nil"/>
            </w:tcBorders>
            <w:noWrap/>
            <w:hideMark/>
          </w:tcPr>
          <w:p w14:paraId="3B40A2AF" w14:textId="77777777" w:rsidR="00FB69AC" w:rsidRPr="00FB69AC" w:rsidRDefault="00FB69AC">
            <w:pPr>
              <w:spacing w:before="120"/>
              <w:ind w:firstLine="708"/>
              <w:jc w:val="center"/>
              <w:rPr>
                <w:rFonts w:cs="Arial"/>
                <w:b/>
                <w:bCs/>
                <w:sz w:val="20"/>
                <w:szCs w:val="20"/>
              </w:rPr>
            </w:pPr>
            <w:r w:rsidRPr="00FB69AC">
              <w:rPr>
                <w:rFonts w:cs="Arial"/>
                <w:b/>
                <w:bCs/>
                <w:sz w:val="20"/>
                <w:szCs w:val="20"/>
              </w:rPr>
              <w:t>Nível de Significância</w:t>
            </w:r>
          </w:p>
        </w:tc>
      </w:tr>
      <w:tr w:rsidR="00FB69AC" w:rsidRPr="00FB69AC" w14:paraId="7FECB8DD" w14:textId="77777777" w:rsidTr="00FB69AC">
        <w:trPr>
          <w:trHeight w:val="221"/>
          <w:jc w:val="center"/>
        </w:trPr>
        <w:tc>
          <w:tcPr>
            <w:tcW w:w="2163" w:type="pct"/>
            <w:tcBorders>
              <w:top w:val="single" w:sz="4" w:space="0" w:color="7F7F7F"/>
              <w:left w:val="nil"/>
              <w:bottom w:val="single" w:sz="4" w:space="0" w:color="7F7F7F"/>
              <w:right w:val="nil"/>
            </w:tcBorders>
            <w:noWrap/>
            <w:hideMark/>
          </w:tcPr>
          <w:p w14:paraId="5D6350BE" w14:textId="77777777" w:rsidR="00FB69AC" w:rsidRPr="00FB69AC" w:rsidRDefault="00FB69AC">
            <w:pPr>
              <w:spacing w:before="120"/>
              <w:jc w:val="both"/>
              <w:rPr>
                <w:rFonts w:cs="Arial"/>
                <w:sz w:val="20"/>
                <w:szCs w:val="20"/>
              </w:rPr>
            </w:pPr>
            <w:r w:rsidRPr="00FB69AC">
              <w:rPr>
                <w:rFonts w:cs="Arial"/>
                <w:sz w:val="20"/>
                <w:szCs w:val="20"/>
              </w:rPr>
              <w:t>Modelo completo</w:t>
            </w:r>
          </w:p>
        </w:tc>
        <w:tc>
          <w:tcPr>
            <w:tcW w:w="868" w:type="pct"/>
            <w:tcBorders>
              <w:top w:val="single" w:sz="4" w:space="0" w:color="7F7F7F"/>
              <w:left w:val="nil"/>
              <w:bottom w:val="single" w:sz="4" w:space="0" w:color="7F7F7F"/>
              <w:right w:val="nil"/>
            </w:tcBorders>
            <w:noWrap/>
            <w:hideMark/>
          </w:tcPr>
          <w:p w14:paraId="461D772B" w14:textId="77777777" w:rsidR="00FB69AC" w:rsidRPr="00FB69AC" w:rsidRDefault="00FB69AC">
            <w:pPr>
              <w:spacing w:before="120"/>
              <w:jc w:val="both"/>
              <w:rPr>
                <w:rFonts w:cs="Arial"/>
                <w:sz w:val="20"/>
                <w:szCs w:val="20"/>
              </w:rPr>
            </w:pPr>
            <w:r w:rsidRPr="00FB69AC">
              <w:rPr>
                <w:rFonts w:cs="Arial"/>
                <w:sz w:val="20"/>
                <w:szCs w:val="20"/>
              </w:rPr>
              <w:t>2,20E-16</w:t>
            </w:r>
          </w:p>
        </w:tc>
        <w:tc>
          <w:tcPr>
            <w:tcW w:w="1067" w:type="pct"/>
            <w:tcBorders>
              <w:top w:val="single" w:sz="4" w:space="0" w:color="7F7F7F"/>
              <w:left w:val="nil"/>
              <w:bottom w:val="single" w:sz="4" w:space="0" w:color="7F7F7F"/>
              <w:right w:val="nil"/>
            </w:tcBorders>
            <w:noWrap/>
            <w:hideMark/>
          </w:tcPr>
          <w:p w14:paraId="737186E8" w14:textId="77777777" w:rsidR="00FB69AC" w:rsidRPr="00FB69AC" w:rsidRDefault="00FB69AC">
            <w:pPr>
              <w:spacing w:before="120"/>
              <w:jc w:val="both"/>
              <w:rPr>
                <w:rFonts w:cs="Arial"/>
                <w:sz w:val="20"/>
                <w:szCs w:val="20"/>
              </w:rPr>
            </w:pPr>
            <w:r w:rsidRPr="00FB69AC">
              <w:rPr>
                <w:rFonts w:cs="Arial"/>
                <w:sz w:val="20"/>
                <w:szCs w:val="20"/>
              </w:rPr>
              <w:t>Significativa</w:t>
            </w:r>
          </w:p>
        </w:tc>
        <w:tc>
          <w:tcPr>
            <w:tcW w:w="902" w:type="pct"/>
            <w:tcBorders>
              <w:top w:val="single" w:sz="4" w:space="0" w:color="7F7F7F"/>
              <w:left w:val="nil"/>
              <w:bottom w:val="single" w:sz="4" w:space="0" w:color="7F7F7F"/>
              <w:right w:val="nil"/>
            </w:tcBorders>
            <w:noWrap/>
            <w:hideMark/>
          </w:tcPr>
          <w:p w14:paraId="65516DC3" w14:textId="77777777" w:rsidR="00FB69AC" w:rsidRPr="00FB69AC" w:rsidRDefault="00FB69AC">
            <w:pPr>
              <w:spacing w:before="120"/>
              <w:ind w:firstLine="708"/>
              <w:jc w:val="center"/>
              <w:rPr>
                <w:rFonts w:cs="Arial"/>
                <w:sz w:val="20"/>
                <w:szCs w:val="20"/>
              </w:rPr>
            </w:pPr>
            <w:r w:rsidRPr="00FB69AC">
              <w:rPr>
                <w:rFonts w:cs="Arial"/>
                <w:sz w:val="20"/>
                <w:szCs w:val="20"/>
              </w:rPr>
              <w:t>***</w:t>
            </w:r>
          </w:p>
        </w:tc>
      </w:tr>
      <w:tr w:rsidR="00FB69AC" w:rsidRPr="00FB69AC" w14:paraId="44B54D08" w14:textId="77777777" w:rsidTr="00FB69AC">
        <w:trPr>
          <w:trHeight w:val="221"/>
          <w:jc w:val="center"/>
        </w:trPr>
        <w:tc>
          <w:tcPr>
            <w:tcW w:w="2163" w:type="pct"/>
            <w:tcBorders>
              <w:top w:val="single" w:sz="4" w:space="0" w:color="7F7F7F"/>
              <w:left w:val="nil"/>
              <w:bottom w:val="single" w:sz="4" w:space="0" w:color="7F7F7F"/>
              <w:right w:val="nil"/>
            </w:tcBorders>
            <w:noWrap/>
            <w:hideMark/>
          </w:tcPr>
          <w:p w14:paraId="377CED1F" w14:textId="77777777" w:rsidR="00FB69AC" w:rsidRPr="00FB69AC" w:rsidRDefault="00FB69AC">
            <w:pPr>
              <w:spacing w:before="120"/>
              <w:jc w:val="both"/>
              <w:rPr>
                <w:rFonts w:cs="Arial"/>
                <w:sz w:val="20"/>
                <w:szCs w:val="20"/>
              </w:rPr>
            </w:pPr>
            <w:r w:rsidRPr="00FB69AC">
              <w:rPr>
                <w:rFonts w:cs="Arial"/>
                <w:sz w:val="20"/>
                <w:szCs w:val="20"/>
              </w:rPr>
              <w:t>PNAE</w:t>
            </w:r>
          </w:p>
        </w:tc>
        <w:tc>
          <w:tcPr>
            <w:tcW w:w="868" w:type="pct"/>
            <w:tcBorders>
              <w:top w:val="single" w:sz="4" w:space="0" w:color="7F7F7F"/>
              <w:left w:val="nil"/>
              <w:bottom w:val="single" w:sz="4" w:space="0" w:color="7F7F7F"/>
              <w:right w:val="nil"/>
            </w:tcBorders>
            <w:noWrap/>
            <w:hideMark/>
          </w:tcPr>
          <w:p w14:paraId="4EA19B66" w14:textId="77777777" w:rsidR="00FB69AC" w:rsidRPr="00FB69AC" w:rsidRDefault="00FB69AC">
            <w:pPr>
              <w:spacing w:before="120"/>
              <w:jc w:val="both"/>
              <w:rPr>
                <w:rFonts w:cs="Arial"/>
                <w:sz w:val="20"/>
                <w:szCs w:val="20"/>
              </w:rPr>
            </w:pPr>
            <w:r w:rsidRPr="00FB69AC">
              <w:rPr>
                <w:rFonts w:cs="Arial"/>
                <w:sz w:val="20"/>
                <w:szCs w:val="20"/>
              </w:rPr>
              <w:t>0.03392</w:t>
            </w:r>
          </w:p>
        </w:tc>
        <w:tc>
          <w:tcPr>
            <w:tcW w:w="1067" w:type="pct"/>
            <w:tcBorders>
              <w:top w:val="single" w:sz="4" w:space="0" w:color="7F7F7F"/>
              <w:left w:val="nil"/>
              <w:bottom w:val="single" w:sz="4" w:space="0" w:color="7F7F7F"/>
              <w:right w:val="nil"/>
            </w:tcBorders>
            <w:noWrap/>
            <w:hideMark/>
          </w:tcPr>
          <w:p w14:paraId="28D3696E" w14:textId="77777777" w:rsidR="00FB69AC" w:rsidRPr="00FB69AC" w:rsidRDefault="00FB69AC">
            <w:pPr>
              <w:spacing w:before="120"/>
              <w:jc w:val="both"/>
              <w:rPr>
                <w:rFonts w:cs="Arial"/>
                <w:sz w:val="20"/>
                <w:szCs w:val="20"/>
              </w:rPr>
            </w:pPr>
            <w:r w:rsidRPr="00FB69AC">
              <w:rPr>
                <w:rFonts w:cs="Arial"/>
                <w:sz w:val="20"/>
                <w:szCs w:val="20"/>
              </w:rPr>
              <w:t>Significativa</w:t>
            </w:r>
          </w:p>
        </w:tc>
        <w:tc>
          <w:tcPr>
            <w:tcW w:w="902" w:type="pct"/>
            <w:tcBorders>
              <w:top w:val="single" w:sz="4" w:space="0" w:color="7F7F7F"/>
              <w:left w:val="nil"/>
              <w:bottom w:val="single" w:sz="4" w:space="0" w:color="7F7F7F"/>
              <w:right w:val="nil"/>
            </w:tcBorders>
            <w:noWrap/>
            <w:hideMark/>
          </w:tcPr>
          <w:p w14:paraId="51805E7A" w14:textId="77777777" w:rsidR="00FB69AC" w:rsidRPr="00FB69AC" w:rsidRDefault="00FB69AC">
            <w:pPr>
              <w:spacing w:before="120"/>
              <w:ind w:firstLine="708"/>
              <w:jc w:val="center"/>
              <w:rPr>
                <w:rFonts w:cs="Arial"/>
                <w:sz w:val="20"/>
                <w:szCs w:val="20"/>
              </w:rPr>
            </w:pPr>
            <w:r w:rsidRPr="00FB69AC">
              <w:rPr>
                <w:rFonts w:cs="Arial"/>
                <w:sz w:val="20"/>
                <w:szCs w:val="20"/>
              </w:rPr>
              <w:t>*</w:t>
            </w:r>
          </w:p>
        </w:tc>
      </w:tr>
      <w:tr w:rsidR="00FB69AC" w:rsidRPr="00FB69AC" w14:paraId="4D8FAFA9" w14:textId="77777777" w:rsidTr="00FB69AC">
        <w:trPr>
          <w:trHeight w:val="221"/>
          <w:jc w:val="center"/>
        </w:trPr>
        <w:tc>
          <w:tcPr>
            <w:tcW w:w="2163" w:type="pct"/>
            <w:tcBorders>
              <w:top w:val="nil"/>
              <w:left w:val="nil"/>
              <w:bottom w:val="nil"/>
              <w:right w:val="nil"/>
            </w:tcBorders>
            <w:noWrap/>
            <w:hideMark/>
          </w:tcPr>
          <w:p w14:paraId="7A58F628" w14:textId="77777777" w:rsidR="00FB69AC" w:rsidRPr="00FB69AC" w:rsidRDefault="00FB69AC">
            <w:pPr>
              <w:spacing w:before="120"/>
              <w:jc w:val="both"/>
              <w:rPr>
                <w:rFonts w:cs="Arial"/>
                <w:sz w:val="20"/>
                <w:szCs w:val="20"/>
              </w:rPr>
            </w:pPr>
            <w:r w:rsidRPr="00FB69AC">
              <w:rPr>
                <w:rFonts w:cs="Arial"/>
                <w:sz w:val="20"/>
                <w:szCs w:val="20"/>
              </w:rPr>
              <w:t>ESTAF</w:t>
            </w:r>
          </w:p>
        </w:tc>
        <w:tc>
          <w:tcPr>
            <w:tcW w:w="868" w:type="pct"/>
            <w:tcBorders>
              <w:top w:val="nil"/>
              <w:left w:val="nil"/>
              <w:bottom w:val="nil"/>
              <w:right w:val="nil"/>
            </w:tcBorders>
            <w:noWrap/>
            <w:hideMark/>
          </w:tcPr>
          <w:p w14:paraId="41E85CF5" w14:textId="77777777" w:rsidR="00FB69AC" w:rsidRPr="00FB69AC" w:rsidRDefault="00FB69AC">
            <w:pPr>
              <w:spacing w:before="120"/>
              <w:jc w:val="both"/>
              <w:rPr>
                <w:rFonts w:cs="Arial"/>
                <w:sz w:val="20"/>
                <w:szCs w:val="20"/>
              </w:rPr>
            </w:pPr>
            <w:r w:rsidRPr="00FB69AC">
              <w:rPr>
                <w:rFonts w:cs="Arial"/>
                <w:sz w:val="20"/>
                <w:szCs w:val="20"/>
              </w:rPr>
              <w:t>1,69E-11</w:t>
            </w:r>
          </w:p>
        </w:tc>
        <w:tc>
          <w:tcPr>
            <w:tcW w:w="1067" w:type="pct"/>
            <w:tcBorders>
              <w:top w:val="nil"/>
              <w:left w:val="nil"/>
              <w:bottom w:val="nil"/>
              <w:right w:val="nil"/>
            </w:tcBorders>
            <w:noWrap/>
            <w:hideMark/>
          </w:tcPr>
          <w:p w14:paraId="0A4309BC" w14:textId="77777777" w:rsidR="00FB69AC" w:rsidRPr="00FB69AC" w:rsidRDefault="00FB69AC">
            <w:pPr>
              <w:spacing w:before="120"/>
              <w:jc w:val="both"/>
              <w:rPr>
                <w:rFonts w:cs="Arial"/>
                <w:sz w:val="20"/>
                <w:szCs w:val="20"/>
              </w:rPr>
            </w:pPr>
            <w:r w:rsidRPr="00FB69AC">
              <w:rPr>
                <w:rFonts w:cs="Arial"/>
                <w:sz w:val="20"/>
                <w:szCs w:val="20"/>
              </w:rPr>
              <w:t>Significativa</w:t>
            </w:r>
          </w:p>
        </w:tc>
        <w:tc>
          <w:tcPr>
            <w:tcW w:w="902" w:type="pct"/>
            <w:tcBorders>
              <w:top w:val="nil"/>
              <w:left w:val="nil"/>
              <w:bottom w:val="nil"/>
              <w:right w:val="nil"/>
            </w:tcBorders>
            <w:noWrap/>
            <w:hideMark/>
          </w:tcPr>
          <w:p w14:paraId="48D925E5" w14:textId="77777777" w:rsidR="00FB69AC" w:rsidRPr="00FB69AC" w:rsidRDefault="00FB69AC">
            <w:pPr>
              <w:spacing w:before="120"/>
              <w:ind w:firstLine="708"/>
              <w:jc w:val="center"/>
              <w:rPr>
                <w:rFonts w:cs="Arial"/>
                <w:sz w:val="20"/>
                <w:szCs w:val="20"/>
              </w:rPr>
            </w:pPr>
            <w:r w:rsidRPr="00FB69AC">
              <w:rPr>
                <w:rFonts w:cs="Arial"/>
                <w:sz w:val="20"/>
                <w:szCs w:val="20"/>
              </w:rPr>
              <w:t>***</w:t>
            </w:r>
          </w:p>
        </w:tc>
      </w:tr>
      <w:tr w:rsidR="00FB69AC" w:rsidRPr="00FB69AC" w14:paraId="4FFDC1E6" w14:textId="77777777" w:rsidTr="00FB69AC">
        <w:trPr>
          <w:trHeight w:val="221"/>
          <w:jc w:val="center"/>
        </w:trPr>
        <w:tc>
          <w:tcPr>
            <w:tcW w:w="2163" w:type="pct"/>
            <w:tcBorders>
              <w:top w:val="single" w:sz="4" w:space="0" w:color="7F7F7F"/>
              <w:left w:val="nil"/>
              <w:bottom w:val="single" w:sz="4" w:space="0" w:color="7F7F7F"/>
              <w:right w:val="nil"/>
            </w:tcBorders>
            <w:noWrap/>
            <w:hideMark/>
          </w:tcPr>
          <w:p w14:paraId="1C52CEB2" w14:textId="77777777" w:rsidR="00FB69AC" w:rsidRPr="00FB69AC" w:rsidRDefault="00FB69AC">
            <w:pPr>
              <w:spacing w:before="120"/>
              <w:jc w:val="both"/>
              <w:rPr>
                <w:rFonts w:cs="Arial"/>
                <w:sz w:val="20"/>
                <w:szCs w:val="20"/>
              </w:rPr>
            </w:pPr>
            <w:r w:rsidRPr="00FB69AC">
              <w:rPr>
                <w:rFonts w:cs="Arial"/>
                <w:sz w:val="20"/>
                <w:szCs w:val="20"/>
              </w:rPr>
              <w:t>ASSIGOV</w:t>
            </w:r>
          </w:p>
        </w:tc>
        <w:tc>
          <w:tcPr>
            <w:tcW w:w="868" w:type="pct"/>
            <w:tcBorders>
              <w:top w:val="single" w:sz="4" w:space="0" w:color="7F7F7F"/>
              <w:left w:val="nil"/>
              <w:bottom w:val="single" w:sz="4" w:space="0" w:color="7F7F7F"/>
              <w:right w:val="nil"/>
            </w:tcBorders>
            <w:noWrap/>
            <w:hideMark/>
          </w:tcPr>
          <w:p w14:paraId="2FD05683" w14:textId="77777777" w:rsidR="00FB69AC" w:rsidRPr="00FB69AC" w:rsidRDefault="00FB69AC">
            <w:pPr>
              <w:spacing w:before="120"/>
              <w:jc w:val="both"/>
              <w:rPr>
                <w:rFonts w:cs="Arial"/>
                <w:sz w:val="20"/>
                <w:szCs w:val="20"/>
              </w:rPr>
            </w:pPr>
            <w:r w:rsidRPr="00FB69AC">
              <w:rPr>
                <w:rFonts w:cs="Arial"/>
                <w:sz w:val="20"/>
                <w:szCs w:val="20"/>
              </w:rPr>
              <w:t>0.1757</w:t>
            </w:r>
          </w:p>
        </w:tc>
        <w:tc>
          <w:tcPr>
            <w:tcW w:w="1067" w:type="pct"/>
            <w:tcBorders>
              <w:top w:val="single" w:sz="4" w:space="0" w:color="7F7F7F"/>
              <w:left w:val="nil"/>
              <w:bottom w:val="single" w:sz="4" w:space="0" w:color="7F7F7F"/>
              <w:right w:val="nil"/>
            </w:tcBorders>
            <w:noWrap/>
            <w:hideMark/>
          </w:tcPr>
          <w:p w14:paraId="66939CE1" w14:textId="77777777" w:rsidR="00FB69AC" w:rsidRPr="00FB69AC" w:rsidRDefault="00FB69AC">
            <w:pPr>
              <w:spacing w:before="120"/>
              <w:jc w:val="both"/>
              <w:rPr>
                <w:rFonts w:cs="Arial"/>
                <w:sz w:val="20"/>
                <w:szCs w:val="20"/>
              </w:rPr>
            </w:pPr>
            <w:r w:rsidRPr="00FB69AC">
              <w:rPr>
                <w:rFonts w:cs="Arial"/>
                <w:sz w:val="20"/>
                <w:szCs w:val="20"/>
              </w:rPr>
              <w:t>Não Significativa</w:t>
            </w:r>
          </w:p>
        </w:tc>
        <w:tc>
          <w:tcPr>
            <w:tcW w:w="902" w:type="pct"/>
            <w:tcBorders>
              <w:top w:val="single" w:sz="4" w:space="0" w:color="7F7F7F"/>
              <w:left w:val="nil"/>
              <w:bottom w:val="single" w:sz="4" w:space="0" w:color="7F7F7F"/>
              <w:right w:val="nil"/>
            </w:tcBorders>
            <w:noWrap/>
            <w:hideMark/>
          </w:tcPr>
          <w:p w14:paraId="47F653E8" w14:textId="77777777" w:rsidR="00FB69AC" w:rsidRPr="00FB69AC" w:rsidRDefault="00FB69AC">
            <w:pPr>
              <w:rPr>
                <w:rFonts w:cs="Arial"/>
                <w:sz w:val="20"/>
                <w:szCs w:val="20"/>
              </w:rPr>
            </w:pPr>
          </w:p>
        </w:tc>
      </w:tr>
      <w:tr w:rsidR="00FB69AC" w:rsidRPr="00FB69AC" w14:paraId="78F2F9B9" w14:textId="77777777" w:rsidTr="00FB69AC">
        <w:trPr>
          <w:trHeight w:val="221"/>
          <w:jc w:val="center"/>
        </w:trPr>
        <w:tc>
          <w:tcPr>
            <w:tcW w:w="2163" w:type="pct"/>
            <w:tcBorders>
              <w:top w:val="single" w:sz="4" w:space="0" w:color="7F7F7F"/>
              <w:left w:val="nil"/>
              <w:bottom w:val="single" w:sz="4" w:space="0" w:color="948A54" w:themeColor="background2" w:themeShade="80"/>
              <w:right w:val="nil"/>
            </w:tcBorders>
            <w:noWrap/>
            <w:hideMark/>
          </w:tcPr>
          <w:p w14:paraId="55046D7E" w14:textId="77777777" w:rsidR="00FB69AC" w:rsidRPr="00FB69AC" w:rsidRDefault="00FB69AC">
            <w:pPr>
              <w:spacing w:before="120"/>
              <w:jc w:val="both"/>
              <w:rPr>
                <w:rFonts w:cs="Arial"/>
                <w:sz w:val="20"/>
                <w:szCs w:val="20"/>
              </w:rPr>
            </w:pPr>
            <w:r w:rsidRPr="00FB69AC">
              <w:rPr>
                <w:rFonts w:cs="Arial"/>
                <w:sz w:val="20"/>
                <w:szCs w:val="20"/>
              </w:rPr>
              <w:t>VALORAD</w:t>
            </w:r>
          </w:p>
        </w:tc>
        <w:tc>
          <w:tcPr>
            <w:tcW w:w="868" w:type="pct"/>
            <w:tcBorders>
              <w:top w:val="single" w:sz="4" w:space="0" w:color="7F7F7F"/>
              <w:left w:val="nil"/>
              <w:bottom w:val="single" w:sz="4" w:space="0" w:color="948A54" w:themeColor="background2" w:themeShade="80"/>
              <w:right w:val="nil"/>
            </w:tcBorders>
            <w:noWrap/>
            <w:hideMark/>
          </w:tcPr>
          <w:p w14:paraId="25E96BEB" w14:textId="77777777" w:rsidR="00FB69AC" w:rsidRPr="00FB69AC" w:rsidRDefault="00FB69AC">
            <w:pPr>
              <w:spacing w:before="120"/>
              <w:jc w:val="both"/>
              <w:rPr>
                <w:rFonts w:cs="Arial"/>
                <w:sz w:val="20"/>
                <w:szCs w:val="20"/>
              </w:rPr>
            </w:pPr>
            <w:r w:rsidRPr="00FB69AC">
              <w:rPr>
                <w:rFonts w:cs="Arial"/>
                <w:sz w:val="20"/>
                <w:szCs w:val="20"/>
              </w:rPr>
              <w:t>3,37E-02</w:t>
            </w:r>
          </w:p>
        </w:tc>
        <w:tc>
          <w:tcPr>
            <w:tcW w:w="1067" w:type="pct"/>
            <w:tcBorders>
              <w:top w:val="single" w:sz="4" w:space="0" w:color="7F7F7F"/>
              <w:left w:val="nil"/>
              <w:bottom w:val="single" w:sz="4" w:space="0" w:color="948A54" w:themeColor="background2" w:themeShade="80"/>
              <w:right w:val="nil"/>
            </w:tcBorders>
            <w:noWrap/>
            <w:hideMark/>
          </w:tcPr>
          <w:p w14:paraId="06DDD47E" w14:textId="77777777" w:rsidR="00FB69AC" w:rsidRPr="00FB69AC" w:rsidRDefault="00FB69AC">
            <w:pPr>
              <w:spacing w:before="120"/>
              <w:jc w:val="both"/>
              <w:rPr>
                <w:rFonts w:cs="Arial"/>
                <w:sz w:val="20"/>
                <w:szCs w:val="20"/>
              </w:rPr>
            </w:pPr>
            <w:r w:rsidRPr="00FB69AC">
              <w:rPr>
                <w:rFonts w:cs="Arial"/>
                <w:sz w:val="20"/>
                <w:szCs w:val="20"/>
              </w:rPr>
              <w:t>Significativa</w:t>
            </w:r>
          </w:p>
        </w:tc>
        <w:tc>
          <w:tcPr>
            <w:tcW w:w="902" w:type="pct"/>
            <w:tcBorders>
              <w:top w:val="single" w:sz="4" w:space="0" w:color="7F7F7F"/>
              <w:left w:val="nil"/>
              <w:bottom w:val="single" w:sz="4" w:space="0" w:color="948A54" w:themeColor="background2" w:themeShade="80"/>
              <w:right w:val="nil"/>
            </w:tcBorders>
            <w:noWrap/>
            <w:hideMark/>
          </w:tcPr>
          <w:p w14:paraId="072D8925" w14:textId="77777777" w:rsidR="00FB69AC" w:rsidRPr="00FB69AC" w:rsidRDefault="00FB69AC">
            <w:pPr>
              <w:spacing w:before="120"/>
              <w:ind w:firstLine="708"/>
              <w:jc w:val="center"/>
              <w:rPr>
                <w:rFonts w:cs="Arial"/>
                <w:sz w:val="20"/>
                <w:szCs w:val="20"/>
              </w:rPr>
            </w:pPr>
            <w:r w:rsidRPr="00FB69AC">
              <w:rPr>
                <w:rFonts w:cs="Arial"/>
                <w:sz w:val="20"/>
                <w:szCs w:val="20"/>
              </w:rPr>
              <w:t>***</w:t>
            </w:r>
          </w:p>
        </w:tc>
      </w:tr>
      <w:tr w:rsidR="00FB69AC" w:rsidRPr="00FB69AC" w14:paraId="32363EB2" w14:textId="77777777" w:rsidTr="00FB69AC">
        <w:trPr>
          <w:trHeight w:val="221"/>
          <w:jc w:val="center"/>
        </w:trPr>
        <w:tc>
          <w:tcPr>
            <w:tcW w:w="2163" w:type="pct"/>
            <w:tcBorders>
              <w:top w:val="single" w:sz="4" w:space="0" w:color="948A54" w:themeColor="background2" w:themeShade="80"/>
              <w:left w:val="nil"/>
              <w:bottom w:val="single" w:sz="4" w:space="0" w:color="7F7F7F"/>
              <w:right w:val="nil"/>
            </w:tcBorders>
            <w:noWrap/>
            <w:hideMark/>
          </w:tcPr>
          <w:p w14:paraId="1C6331A2" w14:textId="77777777" w:rsidR="00FB69AC" w:rsidRPr="00FB69AC" w:rsidRDefault="00FB69AC">
            <w:pPr>
              <w:spacing w:before="120"/>
              <w:jc w:val="both"/>
              <w:rPr>
                <w:rFonts w:cs="Arial"/>
                <w:sz w:val="20"/>
                <w:szCs w:val="20"/>
              </w:rPr>
            </w:pPr>
            <w:r w:rsidRPr="00FB69AC">
              <w:rPr>
                <w:rFonts w:cs="Arial"/>
                <w:sz w:val="20"/>
                <w:szCs w:val="20"/>
              </w:rPr>
              <w:t>PRONAF</w:t>
            </w:r>
          </w:p>
        </w:tc>
        <w:tc>
          <w:tcPr>
            <w:tcW w:w="868" w:type="pct"/>
            <w:tcBorders>
              <w:top w:val="single" w:sz="4" w:space="0" w:color="948A54" w:themeColor="background2" w:themeShade="80"/>
              <w:left w:val="nil"/>
              <w:bottom w:val="single" w:sz="4" w:space="0" w:color="7F7F7F"/>
              <w:right w:val="nil"/>
            </w:tcBorders>
            <w:noWrap/>
            <w:hideMark/>
          </w:tcPr>
          <w:p w14:paraId="2473DE68" w14:textId="77777777" w:rsidR="00FB69AC" w:rsidRPr="00FB69AC" w:rsidRDefault="00FB69AC">
            <w:pPr>
              <w:spacing w:before="120"/>
              <w:jc w:val="both"/>
              <w:rPr>
                <w:rFonts w:cs="Arial"/>
                <w:sz w:val="20"/>
                <w:szCs w:val="20"/>
              </w:rPr>
            </w:pPr>
            <w:r w:rsidRPr="00FB69AC">
              <w:rPr>
                <w:rFonts w:cs="Arial"/>
                <w:sz w:val="20"/>
                <w:szCs w:val="20"/>
              </w:rPr>
              <w:t>0.0005144</w:t>
            </w:r>
          </w:p>
        </w:tc>
        <w:tc>
          <w:tcPr>
            <w:tcW w:w="1067" w:type="pct"/>
            <w:tcBorders>
              <w:top w:val="single" w:sz="4" w:space="0" w:color="948A54" w:themeColor="background2" w:themeShade="80"/>
              <w:left w:val="nil"/>
              <w:bottom w:val="single" w:sz="4" w:space="0" w:color="7F7F7F"/>
              <w:right w:val="nil"/>
            </w:tcBorders>
            <w:noWrap/>
            <w:hideMark/>
          </w:tcPr>
          <w:p w14:paraId="0C280B5C" w14:textId="77777777" w:rsidR="00FB69AC" w:rsidRPr="00FB69AC" w:rsidRDefault="00FB69AC">
            <w:pPr>
              <w:spacing w:before="120"/>
              <w:jc w:val="both"/>
              <w:rPr>
                <w:rFonts w:cs="Arial"/>
                <w:sz w:val="20"/>
                <w:szCs w:val="20"/>
              </w:rPr>
            </w:pPr>
            <w:r w:rsidRPr="00FB69AC">
              <w:rPr>
                <w:rFonts w:cs="Arial"/>
                <w:sz w:val="20"/>
                <w:szCs w:val="20"/>
              </w:rPr>
              <w:t>Significativa</w:t>
            </w:r>
          </w:p>
        </w:tc>
        <w:tc>
          <w:tcPr>
            <w:tcW w:w="902" w:type="pct"/>
            <w:tcBorders>
              <w:top w:val="single" w:sz="4" w:space="0" w:color="948A54" w:themeColor="background2" w:themeShade="80"/>
              <w:left w:val="nil"/>
              <w:bottom w:val="single" w:sz="4" w:space="0" w:color="7F7F7F"/>
              <w:right w:val="nil"/>
            </w:tcBorders>
            <w:noWrap/>
            <w:hideMark/>
          </w:tcPr>
          <w:p w14:paraId="77487826" w14:textId="77777777" w:rsidR="00FB69AC" w:rsidRPr="00FB69AC" w:rsidRDefault="00FB69AC">
            <w:pPr>
              <w:spacing w:before="120"/>
              <w:ind w:firstLine="708"/>
              <w:jc w:val="center"/>
              <w:rPr>
                <w:rFonts w:cs="Arial"/>
                <w:sz w:val="20"/>
                <w:szCs w:val="20"/>
              </w:rPr>
            </w:pPr>
            <w:r w:rsidRPr="00FB69AC">
              <w:rPr>
                <w:rFonts w:cs="Arial"/>
                <w:sz w:val="20"/>
                <w:szCs w:val="20"/>
              </w:rPr>
              <w:t>***</w:t>
            </w:r>
          </w:p>
        </w:tc>
      </w:tr>
    </w:tbl>
    <w:p w14:paraId="660FF3ED" w14:textId="77777777" w:rsidR="00FB69AC" w:rsidRPr="00FB69AC" w:rsidRDefault="00FB69AC" w:rsidP="00FB69AC">
      <w:pPr>
        <w:jc w:val="both"/>
        <w:rPr>
          <w:rFonts w:cs="Arial"/>
          <w:sz w:val="18"/>
          <w:szCs w:val="18"/>
        </w:rPr>
      </w:pPr>
      <w:r w:rsidRPr="00FB69AC">
        <w:rPr>
          <w:rFonts w:cs="Arial"/>
          <w:sz w:val="20"/>
          <w:szCs w:val="20"/>
        </w:rPr>
        <w:t>Nível de significância*** p&lt;0,00, ** p&lt;0,01, * p&lt;0,05</w:t>
      </w:r>
    </w:p>
    <w:p w14:paraId="0D0DACF5" w14:textId="77777777" w:rsidR="00FB69AC" w:rsidRDefault="00FB69AC" w:rsidP="00FB69AC">
      <w:pPr>
        <w:jc w:val="both"/>
        <w:rPr>
          <w:rFonts w:cs="Arial"/>
        </w:rPr>
      </w:pPr>
      <w:r w:rsidRPr="00FB69AC">
        <w:rPr>
          <w:rFonts w:cs="Arial"/>
          <w:sz w:val="20"/>
          <w:szCs w:val="20"/>
        </w:rPr>
        <w:t>Fonte: Elaborado pelos autores</w:t>
      </w:r>
      <w:r>
        <w:rPr>
          <w:rFonts w:cs="Arial"/>
        </w:rPr>
        <w:t xml:space="preserve">. </w:t>
      </w:r>
    </w:p>
    <w:p w14:paraId="60B0EF05" w14:textId="77777777" w:rsidR="00FB69AC" w:rsidRDefault="00FB69AC" w:rsidP="00FB69AC">
      <w:pPr>
        <w:spacing w:before="120"/>
        <w:ind w:firstLine="708"/>
        <w:jc w:val="both"/>
        <w:rPr>
          <w:rFonts w:cs="Arial"/>
        </w:rPr>
      </w:pPr>
      <w:r>
        <w:rPr>
          <w:rFonts w:cs="Arial"/>
        </w:rPr>
        <w:t xml:space="preserve">Em relação ao modelo nulo, nota-se que foi estatisticamente significante, levando a rejeitar a hipótese nula que os coeficientes são simultaneamente iguais a zero, reforçando que as variáveis escolhidas representam bom ajustamento para explicação da regressão. As análises individuais de cada umas das variáveis mostraram-se significativas com p-valor &lt;0,000, exceto PNAE p-valor&lt;0,05. Já a variável Assistência Governamental não foi considerada importante para explicar o modelo, pois seu p-valor foi de 0,17.  </w:t>
      </w:r>
    </w:p>
    <w:p w14:paraId="7ECE7F9C" w14:textId="77777777" w:rsidR="00FB69AC" w:rsidRDefault="00FB69AC" w:rsidP="00FB69AC">
      <w:pPr>
        <w:spacing w:before="120"/>
        <w:ind w:firstLine="708"/>
        <w:jc w:val="both"/>
        <w:rPr>
          <w:rFonts w:cs="Arial"/>
        </w:rPr>
      </w:pPr>
      <w:r>
        <w:rPr>
          <w:rFonts w:cs="Arial"/>
        </w:rPr>
        <w:t>Finalizando a análise de ajuste geral do modelo, foi realizado o teste de Hosmer e Lemeshow, devido as variáveis independentes serem contínuas e discretas. De acordo com Fernandes et al., (2020), um resultado não significativo (p-valor &gt; 0,05) sugere que o modelo estimado com as variáveis independentes é melhor que o modelo nulo. O p-valor encontrado para o modelo foi de 0,098, confirmando que as variáveis independentes escolhidas são melhores que o modelo nulo.</w:t>
      </w:r>
    </w:p>
    <w:p w14:paraId="530279FC" w14:textId="77777777" w:rsidR="00FB69AC" w:rsidRDefault="00FB69AC" w:rsidP="00FB69AC">
      <w:pPr>
        <w:spacing w:before="120"/>
        <w:ind w:firstLine="708"/>
        <w:jc w:val="both"/>
        <w:rPr>
          <w:rFonts w:cs="Arial"/>
        </w:rPr>
      </w:pPr>
      <w:r>
        <w:rPr>
          <w:rFonts w:cs="Arial"/>
        </w:rPr>
        <w:t xml:space="preserve">Outro método adotado para mensurar a capacidade de predição do modelo, foi a Curva Característica Operacional do Receptor (ROC), na qual mensura a </w:t>
      </w:r>
      <w:r>
        <w:rPr>
          <w:rFonts w:cs="Arial"/>
        </w:rPr>
        <w:lastRenderedPageBreak/>
        <w:t>capacidade da predição da sensibilidade e da especificidade. A técnica serve para visualizar, classificar e organizar o modelo com base na performance produtiva e é sugerido que tenha um AUC&gt; 0,6.</w:t>
      </w:r>
    </w:p>
    <w:p w14:paraId="210E8B32" w14:textId="77777777" w:rsidR="00FB69AC" w:rsidRDefault="00FB69AC" w:rsidP="00FB69AC">
      <w:pPr>
        <w:spacing w:before="120"/>
        <w:ind w:firstLine="708"/>
        <w:jc w:val="both"/>
        <w:rPr>
          <w:rFonts w:cs="Arial"/>
        </w:rPr>
      </w:pPr>
      <w:r>
        <w:rPr>
          <w:rFonts w:cs="Arial"/>
        </w:rPr>
        <w:t>De acordo com Closas et al., (2018), a sensibilidade aponta a capacidade do estimador de indicar corretamente os casos positivos e a especificidade é a probabilidade de detectar corretamente a presença de casos negativos. Segundo os autores, para que o modelo proposto possua qualidade, o intervalo de estimativa dos pontos, erro padrão, limite inferior e superior não deve conter o valor 0,50. Observou-se que o modelo estimado possui a estimativa do ponto de 0,747, erro padrão de 0,226, limite inferior de 0,699 e limite superior de 0,722, dessa forma o modelo estimado cumpre com tais requisito. Além disso o valor de AUC indica uma mensuração da capacidade de predição do modelo de 74,7%.</w:t>
      </w:r>
    </w:p>
    <w:p w14:paraId="45FEBE0D" w14:textId="77777777" w:rsidR="00FB69AC" w:rsidRDefault="00FB69AC" w:rsidP="00FB69AC">
      <w:pPr>
        <w:spacing w:before="120"/>
        <w:ind w:firstLine="708"/>
        <w:jc w:val="both"/>
        <w:rPr>
          <w:rFonts w:cs="Arial"/>
        </w:rPr>
      </w:pPr>
      <w:r>
        <w:rPr>
          <w:rFonts w:cs="Arial"/>
        </w:rPr>
        <w:t>Assim, com os pressupostos validados e o modelo ajustado, realizou-se a estimação logit para o modelo apresentado na Tabela 4, junto ao erro padrão, intervalos de confiança e indicação de significância.</w:t>
      </w:r>
    </w:p>
    <w:p w14:paraId="58CDDE19" w14:textId="77777777" w:rsidR="00FB69AC" w:rsidRDefault="00FB69AC" w:rsidP="00FB69AC">
      <w:pPr>
        <w:spacing w:before="120"/>
        <w:jc w:val="both"/>
        <w:rPr>
          <w:rFonts w:cs="Arial"/>
          <w:b/>
          <w:bCs/>
          <w:sz w:val="22"/>
          <w:szCs w:val="22"/>
        </w:rPr>
      </w:pPr>
      <w:r>
        <w:rPr>
          <w:rFonts w:cs="Arial"/>
          <w:b/>
          <w:bCs/>
        </w:rPr>
        <w:t>Tabela 4 – Estimação do modelo Logit</w:t>
      </w:r>
    </w:p>
    <w:tbl>
      <w:tblPr>
        <w:tblW w:w="5000" w:type="pct"/>
        <w:jc w:val="center"/>
        <w:tblBorders>
          <w:top w:val="single" w:sz="4" w:space="0" w:color="7F7F7F"/>
          <w:bottom w:val="single" w:sz="4" w:space="0" w:color="7F7F7F"/>
        </w:tblBorders>
        <w:tblLayout w:type="fixed"/>
        <w:tblLook w:val="04A0" w:firstRow="1" w:lastRow="0" w:firstColumn="1" w:lastColumn="0" w:noHBand="0" w:noVBand="1"/>
      </w:tblPr>
      <w:tblGrid>
        <w:gridCol w:w="1561"/>
        <w:gridCol w:w="2879"/>
        <w:gridCol w:w="1519"/>
        <w:gridCol w:w="1961"/>
        <w:gridCol w:w="1152"/>
      </w:tblGrid>
      <w:tr w:rsidR="00FB69AC" w:rsidRPr="00FB69AC" w14:paraId="4599804C" w14:textId="77777777" w:rsidTr="00FB69AC">
        <w:trPr>
          <w:trHeight w:val="300"/>
          <w:jc w:val="center"/>
        </w:trPr>
        <w:tc>
          <w:tcPr>
            <w:tcW w:w="860" w:type="pct"/>
            <w:tcBorders>
              <w:top w:val="single" w:sz="4" w:space="0" w:color="7F7F7F"/>
              <w:left w:val="nil"/>
              <w:bottom w:val="single" w:sz="4" w:space="0" w:color="7F7F7F"/>
              <w:right w:val="nil"/>
            </w:tcBorders>
            <w:noWrap/>
            <w:vAlign w:val="center"/>
            <w:hideMark/>
          </w:tcPr>
          <w:p w14:paraId="6CCE5C11" w14:textId="77777777" w:rsidR="00FB69AC" w:rsidRPr="00FB69AC" w:rsidRDefault="00FB69AC">
            <w:pPr>
              <w:spacing w:before="120"/>
              <w:jc w:val="both"/>
              <w:rPr>
                <w:rFonts w:cs="Arial"/>
                <w:b/>
                <w:bCs/>
                <w:sz w:val="20"/>
                <w:szCs w:val="20"/>
              </w:rPr>
            </w:pPr>
            <w:r w:rsidRPr="00FB69AC">
              <w:rPr>
                <w:rFonts w:cs="Arial"/>
                <w:b/>
                <w:bCs/>
                <w:sz w:val="20"/>
                <w:szCs w:val="20"/>
              </w:rPr>
              <w:t>Variáveis</w:t>
            </w:r>
          </w:p>
        </w:tc>
        <w:tc>
          <w:tcPr>
            <w:tcW w:w="1587" w:type="pct"/>
            <w:tcBorders>
              <w:top w:val="single" w:sz="4" w:space="0" w:color="7F7F7F"/>
              <w:left w:val="nil"/>
              <w:bottom w:val="single" w:sz="4" w:space="0" w:color="7F7F7F"/>
              <w:right w:val="nil"/>
            </w:tcBorders>
            <w:noWrap/>
            <w:vAlign w:val="center"/>
            <w:hideMark/>
          </w:tcPr>
          <w:p w14:paraId="43AEE319" w14:textId="77777777" w:rsidR="00FB69AC" w:rsidRPr="00FB69AC" w:rsidRDefault="00FB69AC">
            <w:pPr>
              <w:spacing w:before="120"/>
              <w:jc w:val="both"/>
              <w:rPr>
                <w:rFonts w:cs="Arial"/>
                <w:b/>
                <w:bCs/>
                <w:i/>
                <w:iCs/>
                <w:sz w:val="20"/>
                <w:szCs w:val="20"/>
              </w:rPr>
            </w:pPr>
            <w:r w:rsidRPr="00FB69AC">
              <w:rPr>
                <w:rFonts w:cs="Arial"/>
                <w:b/>
                <w:bCs/>
                <w:sz w:val="20"/>
                <w:szCs w:val="20"/>
              </w:rPr>
              <w:t>Coeficiente Exponenciado</w:t>
            </w:r>
          </w:p>
        </w:tc>
        <w:tc>
          <w:tcPr>
            <w:tcW w:w="837" w:type="pct"/>
            <w:tcBorders>
              <w:top w:val="single" w:sz="4" w:space="0" w:color="7F7F7F"/>
              <w:left w:val="nil"/>
              <w:bottom w:val="single" w:sz="4" w:space="0" w:color="7F7F7F"/>
              <w:right w:val="nil"/>
            </w:tcBorders>
            <w:noWrap/>
            <w:vAlign w:val="center"/>
            <w:hideMark/>
          </w:tcPr>
          <w:p w14:paraId="274B17B7" w14:textId="77777777" w:rsidR="00FB69AC" w:rsidRPr="00FB69AC" w:rsidRDefault="00FB69AC">
            <w:pPr>
              <w:spacing w:before="120"/>
              <w:jc w:val="both"/>
              <w:rPr>
                <w:rFonts w:cs="Arial"/>
                <w:b/>
                <w:bCs/>
                <w:sz w:val="20"/>
                <w:szCs w:val="20"/>
              </w:rPr>
            </w:pPr>
            <w:r w:rsidRPr="00FB69AC">
              <w:rPr>
                <w:rFonts w:cs="Arial"/>
                <w:b/>
                <w:bCs/>
                <w:sz w:val="20"/>
                <w:szCs w:val="20"/>
              </w:rPr>
              <w:t>Erro-padrão</w:t>
            </w:r>
          </w:p>
        </w:tc>
        <w:tc>
          <w:tcPr>
            <w:tcW w:w="1081" w:type="pct"/>
            <w:tcBorders>
              <w:top w:val="single" w:sz="4" w:space="0" w:color="7F7F7F"/>
              <w:left w:val="nil"/>
              <w:bottom w:val="single" w:sz="4" w:space="0" w:color="7F7F7F"/>
              <w:right w:val="nil"/>
            </w:tcBorders>
            <w:noWrap/>
            <w:vAlign w:val="center"/>
            <w:hideMark/>
          </w:tcPr>
          <w:p w14:paraId="06D994F6" w14:textId="77777777" w:rsidR="00FB69AC" w:rsidRPr="00FB69AC" w:rsidRDefault="00FB69AC">
            <w:pPr>
              <w:spacing w:before="120"/>
              <w:jc w:val="both"/>
              <w:rPr>
                <w:rFonts w:cs="Arial"/>
                <w:b/>
                <w:bCs/>
                <w:sz w:val="20"/>
                <w:szCs w:val="20"/>
              </w:rPr>
            </w:pPr>
            <w:r w:rsidRPr="00FB69AC">
              <w:rPr>
                <w:rFonts w:cs="Arial"/>
                <w:b/>
                <w:bCs/>
                <w:sz w:val="20"/>
                <w:szCs w:val="20"/>
              </w:rPr>
              <w:t>I.C (2,5%-97,5%)</w:t>
            </w:r>
          </w:p>
        </w:tc>
        <w:tc>
          <w:tcPr>
            <w:tcW w:w="635" w:type="pct"/>
            <w:tcBorders>
              <w:top w:val="single" w:sz="4" w:space="0" w:color="7F7F7F"/>
              <w:left w:val="nil"/>
              <w:bottom w:val="single" w:sz="4" w:space="0" w:color="7F7F7F"/>
              <w:right w:val="nil"/>
            </w:tcBorders>
            <w:noWrap/>
            <w:vAlign w:val="center"/>
            <w:hideMark/>
          </w:tcPr>
          <w:p w14:paraId="64344DCC" w14:textId="77777777" w:rsidR="00FB69AC" w:rsidRPr="00FB69AC" w:rsidRDefault="00FB69AC">
            <w:pPr>
              <w:spacing w:before="120"/>
              <w:jc w:val="both"/>
              <w:rPr>
                <w:rFonts w:cs="Arial"/>
                <w:b/>
                <w:bCs/>
                <w:sz w:val="20"/>
                <w:szCs w:val="20"/>
              </w:rPr>
            </w:pPr>
            <w:r w:rsidRPr="00FB69AC">
              <w:rPr>
                <w:rFonts w:cs="Arial"/>
                <w:b/>
                <w:bCs/>
                <w:sz w:val="20"/>
                <w:szCs w:val="20"/>
              </w:rPr>
              <w:t>Pr(&gt;|z|)</w:t>
            </w:r>
          </w:p>
        </w:tc>
      </w:tr>
      <w:tr w:rsidR="00FB69AC" w:rsidRPr="00FB69AC" w14:paraId="2CA84C6E" w14:textId="77777777" w:rsidTr="00FB69AC">
        <w:trPr>
          <w:trHeight w:val="300"/>
          <w:jc w:val="center"/>
        </w:trPr>
        <w:tc>
          <w:tcPr>
            <w:tcW w:w="860" w:type="pct"/>
            <w:tcBorders>
              <w:top w:val="single" w:sz="4" w:space="0" w:color="7F7F7F"/>
              <w:left w:val="nil"/>
              <w:bottom w:val="single" w:sz="4" w:space="0" w:color="7F7F7F"/>
              <w:right w:val="nil"/>
            </w:tcBorders>
            <w:noWrap/>
            <w:vAlign w:val="center"/>
            <w:hideMark/>
          </w:tcPr>
          <w:p w14:paraId="2CDBC0BF" w14:textId="77777777" w:rsidR="00FB69AC" w:rsidRPr="00FB69AC" w:rsidRDefault="00FB69AC">
            <w:pPr>
              <w:spacing w:before="120"/>
              <w:jc w:val="both"/>
              <w:rPr>
                <w:rFonts w:cs="Arial"/>
                <w:sz w:val="20"/>
                <w:szCs w:val="20"/>
              </w:rPr>
            </w:pPr>
            <w:r w:rsidRPr="00FB69AC">
              <w:rPr>
                <w:rFonts w:cs="Arial"/>
                <w:sz w:val="20"/>
                <w:szCs w:val="20"/>
              </w:rPr>
              <w:t>(Intercepto)</w:t>
            </w:r>
          </w:p>
        </w:tc>
        <w:tc>
          <w:tcPr>
            <w:tcW w:w="1587" w:type="pct"/>
            <w:tcBorders>
              <w:top w:val="single" w:sz="4" w:space="0" w:color="7F7F7F"/>
              <w:left w:val="nil"/>
              <w:bottom w:val="single" w:sz="4" w:space="0" w:color="7F7F7F"/>
              <w:right w:val="nil"/>
            </w:tcBorders>
            <w:noWrap/>
            <w:vAlign w:val="center"/>
            <w:hideMark/>
          </w:tcPr>
          <w:p w14:paraId="057E30C3" w14:textId="77777777" w:rsidR="00FB69AC" w:rsidRPr="00FB69AC" w:rsidRDefault="00FB69AC">
            <w:pPr>
              <w:spacing w:before="120"/>
              <w:jc w:val="center"/>
              <w:rPr>
                <w:rFonts w:cs="Arial"/>
                <w:sz w:val="20"/>
                <w:szCs w:val="20"/>
              </w:rPr>
            </w:pPr>
            <w:r w:rsidRPr="00FB69AC">
              <w:rPr>
                <w:rFonts w:cs="Arial"/>
                <w:sz w:val="20"/>
                <w:szCs w:val="20"/>
              </w:rPr>
              <w:t>0,15</w:t>
            </w:r>
          </w:p>
        </w:tc>
        <w:tc>
          <w:tcPr>
            <w:tcW w:w="837" w:type="pct"/>
            <w:tcBorders>
              <w:top w:val="single" w:sz="4" w:space="0" w:color="7F7F7F"/>
              <w:left w:val="nil"/>
              <w:bottom w:val="single" w:sz="4" w:space="0" w:color="7F7F7F"/>
              <w:right w:val="nil"/>
            </w:tcBorders>
            <w:noWrap/>
            <w:vAlign w:val="center"/>
            <w:hideMark/>
          </w:tcPr>
          <w:p w14:paraId="5521665B" w14:textId="77777777" w:rsidR="00FB69AC" w:rsidRPr="00FB69AC" w:rsidRDefault="00FB69AC">
            <w:pPr>
              <w:spacing w:before="120"/>
              <w:jc w:val="center"/>
              <w:rPr>
                <w:rFonts w:cs="Arial"/>
                <w:sz w:val="20"/>
                <w:szCs w:val="20"/>
              </w:rPr>
            </w:pPr>
            <w:r w:rsidRPr="00FB69AC">
              <w:rPr>
                <w:rFonts w:cs="Arial"/>
                <w:sz w:val="20"/>
                <w:szCs w:val="20"/>
              </w:rPr>
              <w:t>0,250</w:t>
            </w:r>
          </w:p>
        </w:tc>
        <w:tc>
          <w:tcPr>
            <w:tcW w:w="1081" w:type="pct"/>
            <w:tcBorders>
              <w:top w:val="single" w:sz="4" w:space="0" w:color="7F7F7F"/>
              <w:left w:val="nil"/>
              <w:bottom w:val="single" w:sz="4" w:space="0" w:color="7F7F7F"/>
              <w:right w:val="nil"/>
            </w:tcBorders>
            <w:noWrap/>
            <w:vAlign w:val="center"/>
            <w:hideMark/>
          </w:tcPr>
          <w:p w14:paraId="7D608FC4" w14:textId="77777777" w:rsidR="00FB69AC" w:rsidRPr="00FB69AC" w:rsidRDefault="00FB69AC">
            <w:pPr>
              <w:spacing w:before="120"/>
              <w:jc w:val="center"/>
              <w:rPr>
                <w:rFonts w:cs="Arial"/>
                <w:sz w:val="20"/>
                <w:szCs w:val="20"/>
              </w:rPr>
            </w:pPr>
            <w:r w:rsidRPr="00FB69AC">
              <w:rPr>
                <w:rFonts w:cs="Arial"/>
                <w:sz w:val="20"/>
                <w:szCs w:val="20"/>
              </w:rPr>
              <w:t>0,09 - 0,24</w:t>
            </w:r>
          </w:p>
        </w:tc>
        <w:tc>
          <w:tcPr>
            <w:tcW w:w="635" w:type="pct"/>
            <w:tcBorders>
              <w:top w:val="single" w:sz="4" w:space="0" w:color="7F7F7F"/>
              <w:left w:val="nil"/>
              <w:bottom w:val="single" w:sz="4" w:space="0" w:color="7F7F7F"/>
              <w:right w:val="nil"/>
            </w:tcBorders>
            <w:noWrap/>
            <w:vAlign w:val="center"/>
            <w:hideMark/>
          </w:tcPr>
          <w:p w14:paraId="7C7842D1" w14:textId="77777777" w:rsidR="00FB69AC" w:rsidRPr="00FB69AC" w:rsidRDefault="00FB69AC">
            <w:pPr>
              <w:spacing w:before="120"/>
              <w:ind w:firstLine="708"/>
              <w:jc w:val="both"/>
              <w:rPr>
                <w:rFonts w:cs="Arial"/>
                <w:sz w:val="20"/>
                <w:szCs w:val="20"/>
              </w:rPr>
            </w:pPr>
            <w:r w:rsidRPr="00FB69AC">
              <w:rPr>
                <w:rFonts w:cs="Arial"/>
                <w:sz w:val="20"/>
                <w:szCs w:val="20"/>
              </w:rPr>
              <w:t>***</w:t>
            </w:r>
          </w:p>
        </w:tc>
      </w:tr>
      <w:tr w:rsidR="00FB69AC" w:rsidRPr="00FB69AC" w14:paraId="53FB8AFE" w14:textId="77777777" w:rsidTr="00FB69AC">
        <w:trPr>
          <w:trHeight w:val="300"/>
          <w:jc w:val="center"/>
        </w:trPr>
        <w:tc>
          <w:tcPr>
            <w:tcW w:w="860" w:type="pct"/>
            <w:tcBorders>
              <w:top w:val="single" w:sz="4" w:space="0" w:color="7F7F7F"/>
              <w:left w:val="nil"/>
              <w:bottom w:val="single" w:sz="4" w:space="0" w:color="7F7F7F"/>
              <w:right w:val="nil"/>
            </w:tcBorders>
            <w:noWrap/>
            <w:vAlign w:val="center"/>
            <w:hideMark/>
          </w:tcPr>
          <w:p w14:paraId="4F88DF38" w14:textId="77777777" w:rsidR="00FB69AC" w:rsidRPr="00FB69AC" w:rsidRDefault="00FB69AC">
            <w:pPr>
              <w:spacing w:before="120"/>
              <w:jc w:val="both"/>
              <w:rPr>
                <w:rFonts w:cs="Arial"/>
                <w:sz w:val="20"/>
                <w:szCs w:val="20"/>
              </w:rPr>
            </w:pPr>
            <w:r w:rsidRPr="00FB69AC">
              <w:rPr>
                <w:rFonts w:cs="Arial"/>
                <w:sz w:val="20"/>
                <w:szCs w:val="20"/>
              </w:rPr>
              <w:t>PNAE</w:t>
            </w:r>
          </w:p>
        </w:tc>
        <w:tc>
          <w:tcPr>
            <w:tcW w:w="1587" w:type="pct"/>
            <w:tcBorders>
              <w:top w:val="single" w:sz="4" w:space="0" w:color="7F7F7F"/>
              <w:left w:val="nil"/>
              <w:bottom w:val="single" w:sz="4" w:space="0" w:color="7F7F7F"/>
              <w:right w:val="nil"/>
            </w:tcBorders>
            <w:noWrap/>
            <w:vAlign w:val="center"/>
            <w:hideMark/>
          </w:tcPr>
          <w:p w14:paraId="50E83737" w14:textId="77777777" w:rsidR="00FB69AC" w:rsidRPr="00FB69AC" w:rsidRDefault="00FB69AC">
            <w:pPr>
              <w:spacing w:before="120"/>
              <w:jc w:val="center"/>
              <w:rPr>
                <w:rFonts w:cs="Arial"/>
                <w:sz w:val="20"/>
                <w:szCs w:val="20"/>
              </w:rPr>
            </w:pPr>
            <w:r w:rsidRPr="00FB69AC">
              <w:rPr>
                <w:rFonts w:cs="Arial"/>
                <w:sz w:val="20"/>
                <w:szCs w:val="20"/>
              </w:rPr>
              <w:t>1,01</w:t>
            </w:r>
          </w:p>
        </w:tc>
        <w:tc>
          <w:tcPr>
            <w:tcW w:w="837" w:type="pct"/>
            <w:tcBorders>
              <w:top w:val="single" w:sz="4" w:space="0" w:color="7F7F7F"/>
              <w:left w:val="nil"/>
              <w:bottom w:val="single" w:sz="4" w:space="0" w:color="7F7F7F"/>
              <w:right w:val="nil"/>
            </w:tcBorders>
            <w:noWrap/>
            <w:vAlign w:val="center"/>
            <w:hideMark/>
          </w:tcPr>
          <w:p w14:paraId="779B2AF1" w14:textId="77777777" w:rsidR="00FB69AC" w:rsidRPr="00FB69AC" w:rsidRDefault="00FB69AC">
            <w:pPr>
              <w:spacing w:before="120"/>
              <w:jc w:val="center"/>
              <w:rPr>
                <w:rFonts w:cs="Arial"/>
                <w:sz w:val="20"/>
                <w:szCs w:val="20"/>
              </w:rPr>
            </w:pPr>
            <w:r w:rsidRPr="00FB69AC">
              <w:rPr>
                <w:rFonts w:cs="Arial"/>
                <w:sz w:val="20"/>
                <w:szCs w:val="20"/>
              </w:rPr>
              <w:t>0,004</w:t>
            </w:r>
          </w:p>
        </w:tc>
        <w:tc>
          <w:tcPr>
            <w:tcW w:w="1081" w:type="pct"/>
            <w:tcBorders>
              <w:top w:val="single" w:sz="4" w:space="0" w:color="7F7F7F"/>
              <w:left w:val="nil"/>
              <w:bottom w:val="single" w:sz="4" w:space="0" w:color="7F7F7F"/>
              <w:right w:val="nil"/>
            </w:tcBorders>
            <w:noWrap/>
            <w:vAlign w:val="center"/>
            <w:hideMark/>
          </w:tcPr>
          <w:p w14:paraId="16CB6A52" w14:textId="77777777" w:rsidR="00FB69AC" w:rsidRPr="00FB69AC" w:rsidRDefault="00FB69AC">
            <w:pPr>
              <w:spacing w:before="120"/>
              <w:jc w:val="center"/>
              <w:rPr>
                <w:rFonts w:cs="Arial"/>
                <w:sz w:val="20"/>
                <w:szCs w:val="20"/>
              </w:rPr>
            </w:pPr>
            <w:r w:rsidRPr="00FB69AC">
              <w:rPr>
                <w:rFonts w:cs="Arial"/>
                <w:sz w:val="20"/>
                <w:szCs w:val="20"/>
              </w:rPr>
              <w:t>1,00 - 1,02</w:t>
            </w:r>
          </w:p>
        </w:tc>
        <w:tc>
          <w:tcPr>
            <w:tcW w:w="635" w:type="pct"/>
            <w:tcBorders>
              <w:top w:val="single" w:sz="4" w:space="0" w:color="7F7F7F"/>
              <w:left w:val="nil"/>
              <w:bottom w:val="single" w:sz="4" w:space="0" w:color="7F7F7F"/>
              <w:right w:val="nil"/>
            </w:tcBorders>
            <w:noWrap/>
            <w:vAlign w:val="center"/>
            <w:hideMark/>
          </w:tcPr>
          <w:p w14:paraId="14BA8E8E" w14:textId="77777777" w:rsidR="00FB69AC" w:rsidRPr="00FB69AC" w:rsidRDefault="00FB69AC">
            <w:pPr>
              <w:spacing w:before="120"/>
              <w:ind w:firstLine="708"/>
              <w:jc w:val="both"/>
              <w:rPr>
                <w:rFonts w:cs="Arial"/>
                <w:sz w:val="20"/>
                <w:szCs w:val="20"/>
              </w:rPr>
            </w:pPr>
            <w:r w:rsidRPr="00FB69AC">
              <w:rPr>
                <w:rFonts w:cs="Arial"/>
                <w:sz w:val="20"/>
                <w:szCs w:val="20"/>
              </w:rPr>
              <w:t>*</w:t>
            </w:r>
          </w:p>
        </w:tc>
      </w:tr>
      <w:tr w:rsidR="00FB69AC" w:rsidRPr="00FB69AC" w14:paraId="7100665F" w14:textId="77777777" w:rsidTr="00FB69AC">
        <w:trPr>
          <w:trHeight w:val="540"/>
          <w:jc w:val="center"/>
        </w:trPr>
        <w:tc>
          <w:tcPr>
            <w:tcW w:w="860" w:type="pct"/>
            <w:tcBorders>
              <w:top w:val="nil"/>
              <w:left w:val="nil"/>
              <w:bottom w:val="nil"/>
              <w:right w:val="nil"/>
            </w:tcBorders>
            <w:noWrap/>
            <w:vAlign w:val="center"/>
            <w:hideMark/>
          </w:tcPr>
          <w:p w14:paraId="74100EF5" w14:textId="77777777" w:rsidR="00FB69AC" w:rsidRPr="00FB69AC" w:rsidRDefault="00FB69AC">
            <w:pPr>
              <w:spacing w:before="120"/>
              <w:jc w:val="both"/>
              <w:rPr>
                <w:rFonts w:cs="Arial"/>
                <w:sz w:val="20"/>
                <w:szCs w:val="20"/>
              </w:rPr>
            </w:pPr>
            <w:r w:rsidRPr="00FB69AC">
              <w:rPr>
                <w:rFonts w:cs="Arial"/>
                <w:sz w:val="20"/>
                <w:szCs w:val="20"/>
              </w:rPr>
              <w:t>ESTAF</w:t>
            </w:r>
          </w:p>
        </w:tc>
        <w:tc>
          <w:tcPr>
            <w:tcW w:w="1587" w:type="pct"/>
            <w:tcBorders>
              <w:top w:val="nil"/>
              <w:left w:val="nil"/>
              <w:bottom w:val="nil"/>
              <w:right w:val="nil"/>
            </w:tcBorders>
            <w:noWrap/>
            <w:vAlign w:val="center"/>
            <w:hideMark/>
          </w:tcPr>
          <w:p w14:paraId="271AC14B" w14:textId="77777777" w:rsidR="00FB69AC" w:rsidRPr="00FB69AC" w:rsidRDefault="00FB69AC">
            <w:pPr>
              <w:spacing w:before="120"/>
              <w:jc w:val="center"/>
              <w:rPr>
                <w:rFonts w:cs="Arial"/>
                <w:sz w:val="20"/>
                <w:szCs w:val="20"/>
              </w:rPr>
            </w:pPr>
            <w:r w:rsidRPr="00FB69AC">
              <w:rPr>
                <w:rFonts w:cs="Arial"/>
                <w:sz w:val="20"/>
                <w:szCs w:val="20"/>
              </w:rPr>
              <w:t>1,00</w:t>
            </w:r>
          </w:p>
        </w:tc>
        <w:tc>
          <w:tcPr>
            <w:tcW w:w="837" w:type="pct"/>
            <w:tcBorders>
              <w:top w:val="nil"/>
              <w:left w:val="nil"/>
              <w:bottom w:val="nil"/>
              <w:right w:val="nil"/>
            </w:tcBorders>
            <w:noWrap/>
            <w:vAlign w:val="center"/>
            <w:hideMark/>
          </w:tcPr>
          <w:p w14:paraId="4876307D" w14:textId="77777777" w:rsidR="00FB69AC" w:rsidRPr="00FB69AC" w:rsidRDefault="00FB69AC">
            <w:pPr>
              <w:spacing w:before="120"/>
              <w:jc w:val="center"/>
              <w:rPr>
                <w:rFonts w:cs="Arial"/>
                <w:sz w:val="20"/>
                <w:szCs w:val="20"/>
              </w:rPr>
            </w:pPr>
            <w:r w:rsidRPr="00FB69AC">
              <w:rPr>
                <w:rFonts w:cs="Arial"/>
                <w:sz w:val="20"/>
                <w:szCs w:val="20"/>
              </w:rPr>
              <w:t>0,000</w:t>
            </w:r>
          </w:p>
        </w:tc>
        <w:tc>
          <w:tcPr>
            <w:tcW w:w="1081" w:type="pct"/>
            <w:tcBorders>
              <w:top w:val="nil"/>
              <w:left w:val="nil"/>
              <w:bottom w:val="nil"/>
              <w:right w:val="nil"/>
            </w:tcBorders>
            <w:noWrap/>
            <w:vAlign w:val="center"/>
            <w:hideMark/>
          </w:tcPr>
          <w:p w14:paraId="792F07DE" w14:textId="77777777" w:rsidR="00FB69AC" w:rsidRPr="00FB69AC" w:rsidRDefault="00FB69AC">
            <w:pPr>
              <w:spacing w:before="120"/>
              <w:jc w:val="center"/>
              <w:rPr>
                <w:rFonts w:cs="Arial"/>
                <w:sz w:val="20"/>
                <w:szCs w:val="20"/>
              </w:rPr>
            </w:pPr>
            <w:r w:rsidRPr="00FB69AC">
              <w:rPr>
                <w:rFonts w:cs="Arial"/>
                <w:sz w:val="20"/>
                <w:szCs w:val="20"/>
              </w:rPr>
              <w:t>1,00 - 1,00</w:t>
            </w:r>
          </w:p>
        </w:tc>
        <w:tc>
          <w:tcPr>
            <w:tcW w:w="635" w:type="pct"/>
            <w:tcBorders>
              <w:top w:val="nil"/>
              <w:left w:val="nil"/>
              <w:bottom w:val="nil"/>
              <w:right w:val="nil"/>
            </w:tcBorders>
            <w:noWrap/>
            <w:vAlign w:val="center"/>
            <w:hideMark/>
          </w:tcPr>
          <w:p w14:paraId="1C4DD566" w14:textId="77777777" w:rsidR="00FB69AC" w:rsidRPr="00FB69AC" w:rsidRDefault="00FB69AC">
            <w:pPr>
              <w:spacing w:before="120"/>
              <w:ind w:firstLine="708"/>
              <w:jc w:val="both"/>
              <w:rPr>
                <w:rFonts w:cs="Arial"/>
                <w:sz w:val="20"/>
                <w:szCs w:val="20"/>
              </w:rPr>
            </w:pPr>
            <w:r w:rsidRPr="00FB69AC">
              <w:rPr>
                <w:rFonts w:cs="Arial"/>
                <w:sz w:val="20"/>
                <w:szCs w:val="20"/>
              </w:rPr>
              <w:t>***</w:t>
            </w:r>
          </w:p>
        </w:tc>
      </w:tr>
      <w:tr w:rsidR="00FB69AC" w:rsidRPr="00FB69AC" w14:paraId="34133CC1" w14:textId="77777777" w:rsidTr="00FB69AC">
        <w:trPr>
          <w:trHeight w:val="300"/>
          <w:jc w:val="center"/>
        </w:trPr>
        <w:tc>
          <w:tcPr>
            <w:tcW w:w="860" w:type="pct"/>
            <w:tcBorders>
              <w:top w:val="single" w:sz="4" w:space="0" w:color="7F7F7F"/>
              <w:left w:val="nil"/>
              <w:bottom w:val="single" w:sz="4" w:space="0" w:color="7F7F7F"/>
              <w:right w:val="nil"/>
            </w:tcBorders>
            <w:noWrap/>
            <w:vAlign w:val="center"/>
            <w:hideMark/>
          </w:tcPr>
          <w:p w14:paraId="37642CD2" w14:textId="77777777" w:rsidR="00FB69AC" w:rsidRPr="00FB69AC" w:rsidRDefault="00FB69AC">
            <w:pPr>
              <w:spacing w:before="120"/>
              <w:jc w:val="both"/>
              <w:rPr>
                <w:rFonts w:cs="Arial"/>
                <w:sz w:val="20"/>
                <w:szCs w:val="20"/>
              </w:rPr>
            </w:pPr>
            <w:r w:rsidRPr="00FB69AC">
              <w:rPr>
                <w:rFonts w:cs="Arial"/>
                <w:sz w:val="20"/>
                <w:szCs w:val="20"/>
              </w:rPr>
              <w:t>ASSIGOV</w:t>
            </w:r>
          </w:p>
        </w:tc>
        <w:tc>
          <w:tcPr>
            <w:tcW w:w="1587" w:type="pct"/>
            <w:tcBorders>
              <w:top w:val="single" w:sz="4" w:space="0" w:color="7F7F7F"/>
              <w:left w:val="nil"/>
              <w:bottom w:val="single" w:sz="4" w:space="0" w:color="7F7F7F"/>
              <w:right w:val="nil"/>
            </w:tcBorders>
            <w:noWrap/>
            <w:vAlign w:val="center"/>
            <w:hideMark/>
          </w:tcPr>
          <w:p w14:paraId="191833C2" w14:textId="77777777" w:rsidR="00FB69AC" w:rsidRPr="00FB69AC" w:rsidRDefault="00FB69AC">
            <w:pPr>
              <w:spacing w:before="120"/>
              <w:jc w:val="center"/>
              <w:rPr>
                <w:rFonts w:cs="Arial"/>
                <w:sz w:val="20"/>
                <w:szCs w:val="20"/>
              </w:rPr>
            </w:pPr>
            <w:r w:rsidRPr="00FB69AC">
              <w:rPr>
                <w:rFonts w:cs="Arial"/>
                <w:sz w:val="20"/>
                <w:szCs w:val="20"/>
              </w:rPr>
              <w:t>1,00</w:t>
            </w:r>
          </w:p>
        </w:tc>
        <w:tc>
          <w:tcPr>
            <w:tcW w:w="837" w:type="pct"/>
            <w:tcBorders>
              <w:top w:val="single" w:sz="4" w:space="0" w:color="7F7F7F"/>
              <w:left w:val="nil"/>
              <w:bottom w:val="single" w:sz="4" w:space="0" w:color="7F7F7F"/>
              <w:right w:val="nil"/>
            </w:tcBorders>
            <w:noWrap/>
            <w:vAlign w:val="center"/>
            <w:hideMark/>
          </w:tcPr>
          <w:p w14:paraId="5086472F" w14:textId="77777777" w:rsidR="00FB69AC" w:rsidRPr="00FB69AC" w:rsidRDefault="00FB69AC">
            <w:pPr>
              <w:spacing w:before="120"/>
              <w:jc w:val="center"/>
              <w:rPr>
                <w:rFonts w:cs="Arial"/>
                <w:sz w:val="20"/>
                <w:szCs w:val="20"/>
              </w:rPr>
            </w:pPr>
            <w:r w:rsidRPr="00FB69AC">
              <w:rPr>
                <w:rFonts w:cs="Arial"/>
                <w:sz w:val="20"/>
                <w:szCs w:val="20"/>
              </w:rPr>
              <w:t>0,001</w:t>
            </w:r>
          </w:p>
        </w:tc>
        <w:tc>
          <w:tcPr>
            <w:tcW w:w="1081" w:type="pct"/>
            <w:tcBorders>
              <w:top w:val="single" w:sz="4" w:space="0" w:color="7F7F7F"/>
              <w:left w:val="nil"/>
              <w:bottom w:val="single" w:sz="4" w:space="0" w:color="7F7F7F"/>
              <w:right w:val="nil"/>
            </w:tcBorders>
            <w:noWrap/>
            <w:vAlign w:val="center"/>
            <w:hideMark/>
          </w:tcPr>
          <w:p w14:paraId="4A65A845" w14:textId="77777777" w:rsidR="00FB69AC" w:rsidRPr="00FB69AC" w:rsidRDefault="00FB69AC">
            <w:pPr>
              <w:spacing w:before="120"/>
              <w:jc w:val="center"/>
              <w:rPr>
                <w:rFonts w:cs="Arial"/>
                <w:sz w:val="20"/>
                <w:szCs w:val="20"/>
              </w:rPr>
            </w:pPr>
            <w:r w:rsidRPr="00FB69AC">
              <w:rPr>
                <w:rFonts w:cs="Arial"/>
                <w:sz w:val="20"/>
                <w:szCs w:val="20"/>
              </w:rPr>
              <w:t>1,00 - 1,00</w:t>
            </w:r>
          </w:p>
        </w:tc>
        <w:tc>
          <w:tcPr>
            <w:tcW w:w="635" w:type="pct"/>
            <w:tcBorders>
              <w:top w:val="single" w:sz="4" w:space="0" w:color="7F7F7F"/>
              <w:left w:val="nil"/>
              <w:bottom w:val="single" w:sz="4" w:space="0" w:color="7F7F7F"/>
              <w:right w:val="nil"/>
            </w:tcBorders>
            <w:noWrap/>
            <w:vAlign w:val="center"/>
            <w:hideMark/>
          </w:tcPr>
          <w:p w14:paraId="38F542DF" w14:textId="77777777" w:rsidR="00FB69AC" w:rsidRPr="00FB69AC" w:rsidRDefault="00FB69AC">
            <w:pPr>
              <w:rPr>
                <w:rFonts w:cs="Arial"/>
                <w:sz w:val="20"/>
                <w:szCs w:val="20"/>
              </w:rPr>
            </w:pPr>
          </w:p>
        </w:tc>
      </w:tr>
      <w:tr w:rsidR="00FB69AC" w:rsidRPr="00FB69AC" w14:paraId="4DC24736" w14:textId="77777777" w:rsidTr="00FB69AC">
        <w:trPr>
          <w:trHeight w:val="540"/>
          <w:jc w:val="center"/>
        </w:trPr>
        <w:tc>
          <w:tcPr>
            <w:tcW w:w="860" w:type="pct"/>
            <w:tcBorders>
              <w:top w:val="single" w:sz="4" w:space="0" w:color="7F7F7F"/>
              <w:left w:val="nil"/>
              <w:bottom w:val="single" w:sz="4" w:space="0" w:color="948A54" w:themeColor="background2" w:themeShade="80"/>
              <w:right w:val="nil"/>
            </w:tcBorders>
            <w:noWrap/>
            <w:vAlign w:val="center"/>
            <w:hideMark/>
          </w:tcPr>
          <w:p w14:paraId="610E867D" w14:textId="77777777" w:rsidR="00FB69AC" w:rsidRPr="00FB69AC" w:rsidRDefault="00FB69AC">
            <w:pPr>
              <w:spacing w:before="120"/>
              <w:jc w:val="both"/>
              <w:rPr>
                <w:rFonts w:cs="Arial"/>
                <w:sz w:val="18"/>
                <w:szCs w:val="18"/>
              </w:rPr>
            </w:pPr>
            <w:r w:rsidRPr="00FB69AC">
              <w:rPr>
                <w:rFonts w:cs="Arial"/>
                <w:sz w:val="20"/>
                <w:szCs w:val="20"/>
              </w:rPr>
              <w:t>VALORAD</w:t>
            </w:r>
          </w:p>
        </w:tc>
        <w:tc>
          <w:tcPr>
            <w:tcW w:w="1587" w:type="pct"/>
            <w:tcBorders>
              <w:top w:val="single" w:sz="4" w:space="0" w:color="7F7F7F"/>
              <w:left w:val="nil"/>
              <w:bottom w:val="single" w:sz="4" w:space="0" w:color="948A54" w:themeColor="background2" w:themeShade="80"/>
              <w:right w:val="nil"/>
            </w:tcBorders>
            <w:noWrap/>
            <w:vAlign w:val="center"/>
            <w:hideMark/>
          </w:tcPr>
          <w:p w14:paraId="054A431A" w14:textId="77777777" w:rsidR="00FB69AC" w:rsidRPr="00FB69AC" w:rsidRDefault="00FB69AC">
            <w:pPr>
              <w:spacing w:before="120"/>
              <w:jc w:val="center"/>
              <w:rPr>
                <w:rFonts w:cs="Arial"/>
                <w:sz w:val="20"/>
                <w:szCs w:val="20"/>
              </w:rPr>
            </w:pPr>
            <w:r w:rsidRPr="00FB69AC">
              <w:rPr>
                <w:rFonts w:cs="Arial"/>
                <w:sz w:val="20"/>
                <w:szCs w:val="20"/>
              </w:rPr>
              <w:t>0,96</w:t>
            </w:r>
          </w:p>
        </w:tc>
        <w:tc>
          <w:tcPr>
            <w:tcW w:w="837" w:type="pct"/>
            <w:tcBorders>
              <w:top w:val="single" w:sz="4" w:space="0" w:color="7F7F7F"/>
              <w:left w:val="nil"/>
              <w:bottom w:val="single" w:sz="4" w:space="0" w:color="948A54" w:themeColor="background2" w:themeShade="80"/>
              <w:right w:val="nil"/>
            </w:tcBorders>
            <w:noWrap/>
            <w:vAlign w:val="center"/>
            <w:hideMark/>
          </w:tcPr>
          <w:p w14:paraId="0CFD002F" w14:textId="77777777" w:rsidR="00FB69AC" w:rsidRPr="00FB69AC" w:rsidRDefault="00FB69AC">
            <w:pPr>
              <w:spacing w:before="120"/>
              <w:jc w:val="center"/>
              <w:rPr>
                <w:rFonts w:cs="Arial"/>
                <w:sz w:val="20"/>
                <w:szCs w:val="20"/>
              </w:rPr>
            </w:pPr>
            <w:r w:rsidRPr="00FB69AC">
              <w:rPr>
                <w:rFonts w:cs="Arial"/>
                <w:sz w:val="20"/>
                <w:szCs w:val="20"/>
              </w:rPr>
              <w:t>0,009</w:t>
            </w:r>
          </w:p>
        </w:tc>
        <w:tc>
          <w:tcPr>
            <w:tcW w:w="1081" w:type="pct"/>
            <w:tcBorders>
              <w:top w:val="single" w:sz="4" w:space="0" w:color="7F7F7F"/>
              <w:left w:val="nil"/>
              <w:bottom w:val="single" w:sz="4" w:space="0" w:color="948A54" w:themeColor="background2" w:themeShade="80"/>
              <w:right w:val="nil"/>
            </w:tcBorders>
            <w:noWrap/>
            <w:vAlign w:val="center"/>
            <w:hideMark/>
          </w:tcPr>
          <w:p w14:paraId="60FCC657" w14:textId="77777777" w:rsidR="00FB69AC" w:rsidRPr="00FB69AC" w:rsidRDefault="00FB69AC">
            <w:pPr>
              <w:spacing w:before="120"/>
              <w:jc w:val="center"/>
              <w:rPr>
                <w:rFonts w:cs="Arial"/>
                <w:sz w:val="20"/>
                <w:szCs w:val="20"/>
              </w:rPr>
            </w:pPr>
            <w:r w:rsidRPr="00FB69AC">
              <w:rPr>
                <w:rFonts w:cs="Arial"/>
                <w:sz w:val="20"/>
                <w:szCs w:val="20"/>
              </w:rPr>
              <w:t>0,95 - 0,98</w:t>
            </w:r>
          </w:p>
        </w:tc>
        <w:tc>
          <w:tcPr>
            <w:tcW w:w="635" w:type="pct"/>
            <w:tcBorders>
              <w:top w:val="single" w:sz="4" w:space="0" w:color="7F7F7F"/>
              <w:left w:val="nil"/>
              <w:bottom w:val="single" w:sz="4" w:space="0" w:color="948A54" w:themeColor="background2" w:themeShade="80"/>
              <w:right w:val="nil"/>
            </w:tcBorders>
            <w:noWrap/>
            <w:vAlign w:val="center"/>
            <w:hideMark/>
          </w:tcPr>
          <w:p w14:paraId="5C51EB71" w14:textId="77777777" w:rsidR="00FB69AC" w:rsidRPr="00FB69AC" w:rsidRDefault="00FB69AC">
            <w:pPr>
              <w:spacing w:before="120"/>
              <w:ind w:firstLine="708"/>
              <w:jc w:val="both"/>
              <w:rPr>
                <w:rFonts w:cs="Arial"/>
                <w:sz w:val="20"/>
                <w:szCs w:val="20"/>
              </w:rPr>
            </w:pPr>
            <w:r w:rsidRPr="00FB69AC">
              <w:rPr>
                <w:rFonts w:cs="Arial"/>
                <w:sz w:val="20"/>
                <w:szCs w:val="20"/>
              </w:rPr>
              <w:t>***</w:t>
            </w:r>
          </w:p>
        </w:tc>
      </w:tr>
      <w:tr w:rsidR="00FB69AC" w:rsidRPr="00FB69AC" w14:paraId="67457A07" w14:textId="77777777" w:rsidTr="00FB69AC">
        <w:trPr>
          <w:trHeight w:val="300"/>
          <w:jc w:val="center"/>
        </w:trPr>
        <w:tc>
          <w:tcPr>
            <w:tcW w:w="860" w:type="pct"/>
            <w:tcBorders>
              <w:top w:val="single" w:sz="4" w:space="0" w:color="948A54" w:themeColor="background2" w:themeShade="80"/>
              <w:left w:val="nil"/>
              <w:bottom w:val="single" w:sz="4" w:space="0" w:color="7F7F7F"/>
              <w:right w:val="nil"/>
            </w:tcBorders>
            <w:noWrap/>
            <w:vAlign w:val="center"/>
            <w:hideMark/>
          </w:tcPr>
          <w:p w14:paraId="3132B171" w14:textId="77777777" w:rsidR="00FB69AC" w:rsidRPr="00FB69AC" w:rsidRDefault="00FB69AC">
            <w:pPr>
              <w:spacing w:before="120"/>
              <w:jc w:val="both"/>
              <w:rPr>
                <w:rFonts w:cs="Arial"/>
                <w:sz w:val="20"/>
                <w:szCs w:val="20"/>
              </w:rPr>
            </w:pPr>
            <w:r w:rsidRPr="00FB69AC">
              <w:rPr>
                <w:rFonts w:cs="Arial"/>
                <w:sz w:val="20"/>
                <w:szCs w:val="20"/>
              </w:rPr>
              <w:t>PRONAF</w:t>
            </w:r>
          </w:p>
        </w:tc>
        <w:tc>
          <w:tcPr>
            <w:tcW w:w="1587" w:type="pct"/>
            <w:tcBorders>
              <w:top w:val="single" w:sz="4" w:space="0" w:color="948A54" w:themeColor="background2" w:themeShade="80"/>
              <w:left w:val="nil"/>
              <w:bottom w:val="single" w:sz="4" w:space="0" w:color="7F7F7F"/>
              <w:right w:val="nil"/>
            </w:tcBorders>
            <w:noWrap/>
            <w:vAlign w:val="center"/>
            <w:hideMark/>
          </w:tcPr>
          <w:p w14:paraId="00CE1931" w14:textId="77777777" w:rsidR="00FB69AC" w:rsidRPr="00FB69AC" w:rsidRDefault="00FB69AC">
            <w:pPr>
              <w:spacing w:before="120"/>
              <w:jc w:val="center"/>
              <w:rPr>
                <w:rFonts w:cs="Arial"/>
                <w:sz w:val="20"/>
                <w:szCs w:val="20"/>
              </w:rPr>
            </w:pPr>
            <w:r w:rsidRPr="00FB69AC">
              <w:rPr>
                <w:rFonts w:cs="Arial"/>
                <w:sz w:val="20"/>
                <w:szCs w:val="20"/>
              </w:rPr>
              <w:t>0,99</w:t>
            </w:r>
          </w:p>
        </w:tc>
        <w:tc>
          <w:tcPr>
            <w:tcW w:w="837" w:type="pct"/>
            <w:tcBorders>
              <w:top w:val="single" w:sz="4" w:space="0" w:color="948A54" w:themeColor="background2" w:themeShade="80"/>
              <w:left w:val="nil"/>
              <w:bottom w:val="single" w:sz="4" w:space="0" w:color="7F7F7F"/>
              <w:right w:val="nil"/>
            </w:tcBorders>
            <w:noWrap/>
            <w:vAlign w:val="center"/>
            <w:hideMark/>
          </w:tcPr>
          <w:p w14:paraId="7DA917CE" w14:textId="77777777" w:rsidR="00FB69AC" w:rsidRPr="00FB69AC" w:rsidRDefault="00FB69AC">
            <w:pPr>
              <w:spacing w:before="120"/>
              <w:jc w:val="center"/>
              <w:rPr>
                <w:rFonts w:cs="Arial"/>
                <w:sz w:val="20"/>
                <w:szCs w:val="20"/>
              </w:rPr>
            </w:pPr>
            <w:r w:rsidRPr="00FB69AC">
              <w:rPr>
                <w:rFonts w:cs="Arial"/>
                <w:sz w:val="20"/>
                <w:szCs w:val="20"/>
              </w:rPr>
              <w:t>0,002</w:t>
            </w:r>
          </w:p>
        </w:tc>
        <w:tc>
          <w:tcPr>
            <w:tcW w:w="1081" w:type="pct"/>
            <w:tcBorders>
              <w:top w:val="single" w:sz="4" w:space="0" w:color="948A54" w:themeColor="background2" w:themeShade="80"/>
              <w:left w:val="nil"/>
              <w:bottom w:val="single" w:sz="4" w:space="0" w:color="7F7F7F"/>
              <w:right w:val="nil"/>
            </w:tcBorders>
            <w:noWrap/>
            <w:vAlign w:val="center"/>
            <w:hideMark/>
          </w:tcPr>
          <w:p w14:paraId="5B034414" w14:textId="77777777" w:rsidR="00FB69AC" w:rsidRPr="00FB69AC" w:rsidRDefault="00FB69AC">
            <w:pPr>
              <w:spacing w:before="120"/>
              <w:jc w:val="center"/>
              <w:rPr>
                <w:rFonts w:cs="Arial"/>
                <w:sz w:val="20"/>
                <w:szCs w:val="20"/>
              </w:rPr>
            </w:pPr>
            <w:r w:rsidRPr="00FB69AC">
              <w:rPr>
                <w:rFonts w:cs="Arial"/>
                <w:sz w:val="20"/>
                <w:szCs w:val="20"/>
              </w:rPr>
              <w:t>0,99 - 1,00</w:t>
            </w:r>
          </w:p>
        </w:tc>
        <w:tc>
          <w:tcPr>
            <w:tcW w:w="635" w:type="pct"/>
            <w:tcBorders>
              <w:top w:val="single" w:sz="4" w:space="0" w:color="948A54" w:themeColor="background2" w:themeShade="80"/>
              <w:left w:val="nil"/>
              <w:bottom w:val="single" w:sz="4" w:space="0" w:color="7F7F7F"/>
              <w:right w:val="nil"/>
            </w:tcBorders>
            <w:noWrap/>
            <w:vAlign w:val="center"/>
            <w:hideMark/>
          </w:tcPr>
          <w:p w14:paraId="27579D97" w14:textId="77777777" w:rsidR="00FB69AC" w:rsidRPr="00FB69AC" w:rsidRDefault="00FB69AC">
            <w:pPr>
              <w:spacing w:before="120"/>
              <w:ind w:firstLine="708"/>
              <w:jc w:val="both"/>
              <w:rPr>
                <w:rFonts w:cs="Arial"/>
                <w:sz w:val="20"/>
                <w:szCs w:val="20"/>
              </w:rPr>
            </w:pPr>
            <w:r w:rsidRPr="00FB69AC">
              <w:rPr>
                <w:rFonts w:cs="Arial"/>
                <w:sz w:val="20"/>
                <w:szCs w:val="20"/>
              </w:rPr>
              <w:t>**</w:t>
            </w:r>
          </w:p>
        </w:tc>
      </w:tr>
    </w:tbl>
    <w:p w14:paraId="6F674604" w14:textId="77777777" w:rsidR="00FB69AC" w:rsidRPr="00FB69AC" w:rsidRDefault="00FB69AC" w:rsidP="00FB69AC">
      <w:pPr>
        <w:spacing w:before="120"/>
        <w:jc w:val="both"/>
        <w:rPr>
          <w:rFonts w:cs="Arial"/>
          <w:sz w:val="18"/>
          <w:szCs w:val="18"/>
        </w:rPr>
      </w:pPr>
      <w:r w:rsidRPr="00FB69AC">
        <w:rPr>
          <w:rFonts w:cs="Arial"/>
          <w:sz w:val="20"/>
          <w:szCs w:val="20"/>
        </w:rPr>
        <w:t>Nível de significância   *** p&lt;0,00, ** p&lt;0,01, * p&lt;0,05</w:t>
      </w:r>
    </w:p>
    <w:p w14:paraId="67F601BC" w14:textId="77777777" w:rsidR="00FB69AC" w:rsidRPr="00FB69AC" w:rsidRDefault="00FB69AC" w:rsidP="00FB69AC">
      <w:pPr>
        <w:spacing w:before="120"/>
        <w:jc w:val="both"/>
        <w:rPr>
          <w:rFonts w:cs="Arial"/>
          <w:sz w:val="20"/>
          <w:szCs w:val="20"/>
        </w:rPr>
      </w:pPr>
      <w:r w:rsidRPr="00FB69AC">
        <w:rPr>
          <w:rFonts w:cs="Arial"/>
          <w:sz w:val="20"/>
          <w:szCs w:val="20"/>
        </w:rPr>
        <w:t>Fonte: Elaborado pelos autores</w:t>
      </w:r>
    </w:p>
    <w:p w14:paraId="63AD73EB" w14:textId="77777777" w:rsidR="00FB69AC" w:rsidRDefault="00FB69AC" w:rsidP="00FB69AC">
      <w:pPr>
        <w:spacing w:before="120"/>
        <w:ind w:firstLine="708"/>
        <w:jc w:val="both"/>
        <w:rPr>
          <w:rFonts w:cs="Arial"/>
        </w:rPr>
      </w:pPr>
      <w:r>
        <w:rPr>
          <w:rFonts w:cs="Arial"/>
        </w:rPr>
        <w:t>Pelo exposto na Tabela 4 observa-se que apenas a variável ASSIGOV não foi não foi significativa para explicar o modelo, mas as demais foram estatisticamente significativas a 1%, exceto PNAE que foi estatisticamente significante a 5%. Cabe destacar que todas as variáveis estão dentro do intervalo de confiança.</w:t>
      </w:r>
    </w:p>
    <w:p w14:paraId="1044EA6C" w14:textId="77777777" w:rsidR="00FB69AC" w:rsidRDefault="00FB69AC" w:rsidP="00FB69AC">
      <w:pPr>
        <w:spacing w:before="120"/>
        <w:ind w:firstLine="708"/>
        <w:jc w:val="both"/>
        <w:rPr>
          <w:rFonts w:cs="Arial"/>
        </w:rPr>
      </w:pPr>
      <w:r>
        <w:rPr>
          <w:rFonts w:cs="Arial"/>
        </w:rPr>
        <w:t xml:space="preserve">De acordo com Hair et al. (2009), coeficientes exponenciados menores do que 1,0 refletem relações negativas, enquanto valores acima de 1,0, denotam relações positivas. Logo, um coeficiente exponenciado de 1,0 não denota nenhuma mudança.  Ou seja, uma mudança de uma unidade na variável independente reduz ou aumenta a razão de chance com um efeito muito pequeno ou nulo. </w:t>
      </w:r>
    </w:p>
    <w:p w14:paraId="3EE1E1DD" w14:textId="77777777" w:rsidR="00FB69AC" w:rsidRDefault="00FB69AC" w:rsidP="00FB69AC">
      <w:pPr>
        <w:spacing w:before="120"/>
        <w:ind w:firstLine="708"/>
        <w:jc w:val="both"/>
        <w:rPr>
          <w:rFonts w:cs="Arial"/>
        </w:rPr>
      </w:pPr>
      <w:r>
        <w:rPr>
          <w:rFonts w:cs="Arial"/>
        </w:rPr>
        <w:t>Assim, foi calculada as razões de chance de cada variável independente impactar na variável dependente, conforme apresentado na Tabela 5.</w:t>
      </w:r>
    </w:p>
    <w:p w14:paraId="7AA2B0B3" w14:textId="77777777" w:rsidR="00FB69AC" w:rsidRDefault="00FB69AC" w:rsidP="00FB69AC">
      <w:pPr>
        <w:spacing w:before="120"/>
        <w:jc w:val="both"/>
        <w:rPr>
          <w:rFonts w:cs="Arial"/>
          <w:b/>
          <w:bCs/>
          <w:sz w:val="22"/>
          <w:szCs w:val="22"/>
        </w:rPr>
      </w:pPr>
      <w:r>
        <w:rPr>
          <w:rFonts w:cs="Arial"/>
          <w:b/>
          <w:bCs/>
        </w:rPr>
        <w:t>Tabela 5 – Razões de chances</w:t>
      </w:r>
    </w:p>
    <w:tbl>
      <w:tblPr>
        <w:tblW w:w="5000" w:type="pct"/>
        <w:jc w:val="center"/>
        <w:tblBorders>
          <w:top w:val="single" w:sz="4" w:space="0" w:color="7F7F7F"/>
          <w:bottom w:val="single" w:sz="4" w:space="0" w:color="7F7F7F"/>
        </w:tblBorders>
        <w:tblLook w:val="04A0" w:firstRow="1" w:lastRow="0" w:firstColumn="1" w:lastColumn="0" w:noHBand="0" w:noVBand="1"/>
      </w:tblPr>
      <w:tblGrid>
        <w:gridCol w:w="4504"/>
        <w:gridCol w:w="2957"/>
        <w:gridCol w:w="1611"/>
      </w:tblGrid>
      <w:tr w:rsidR="00FB69AC" w:rsidRPr="00FB69AC" w14:paraId="513ED4F1" w14:textId="77777777" w:rsidTr="00FB69AC">
        <w:trPr>
          <w:trHeight w:val="300"/>
          <w:jc w:val="center"/>
        </w:trPr>
        <w:tc>
          <w:tcPr>
            <w:tcW w:w="2482" w:type="pct"/>
            <w:tcBorders>
              <w:top w:val="single" w:sz="4" w:space="0" w:color="7F7F7F"/>
              <w:left w:val="nil"/>
              <w:bottom w:val="single" w:sz="4" w:space="0" w:color="7F7F7F"/>
              <w:right w:val="nil"/>
            </w:tcBorders>
            <w:noWrap/>
            <w:hideMark/>
          </w:tcPr>
          <w:p w14:paraId="4E61C5ED" w14:textId="77777777" w:rsidR="00FB69AC" w:rsidRPr="00FB69AC" w:rsidRDefault="00FB69AC">
            <w:pPr>
              <w:spacing w:before="120"/>
              <w:jc w:val="both"/>
              <w:rPr>
                <w:rFonts w:cs="Arial"/>
                <w:b/>
                <w:bCs/>
                <w:sz w:val="20"/>
                <w:szCs w:val="20"/>
              </w:rPr>
            </w:pPr>
            <w:r w:rsidRPr="00FB69AC">
              <w:rPr>
                <w:rFonts w:cs="Arial"/>
                <w:b/>
                <w:bCs/>
                <w:sz w:val="20"/>
                <w:szCs w:val="20"/>
              </w:rPr>
              <w:t>Variáveis</w:t>
            </w:r>
          </w:p>
        </w:tc>
        <w:tc>
          <w:tcPr>
            <w:tcW w:w="1630" w:type="pct"/>
            <w:tcBorders>
              <w:top w:val="single" w:sz="4" w:space="0" w:color="7F7F7F"/>
              <w:left w:val="nil"/>
              <w:bottom w:val="single" w:sz="4" w:space="0" w:color="7F7F7F"/>
              <w:right w:val="nil"/>
            </w:tcBorders>
            <w:noWrap/>
            <w:hideMark/>
          </w:tcPr>
          <w:p w14:paraId="17F2FB87" w14:textId="77777777" w:rsidR="00FB69AC" w:rsidRPr="00FB69AC" w:rsidRDefault="00FB69AC">
            <w:pPr>
              <w:spacing w:before="120"/>
              <w:jc w:val="both"/>
              <w:rPr>
                <w:rFonts w:cs="Arial"/>
                <w:b/>
                <w:bCs/>
                <w:sz w:val="20"/>
                <w:szCs w:val="20"/>
              </w:rPr>
            </w:pPr>
            <w:r w:rsidRPr="00FB69AC">
              <w:rPr>
                <w:rFonts w:cs="Arial"/>
                <w:b/>
                <w:bCs/>
                <w:sz w:val="20"/>
                <w:szCs w:val="20"/>
              </w:rPr>
              <w:t>Fórmula</w:t>
            </w:r>
          </w:p>
        </w:tc>
        <w:tc>
          <w:tcPr>
            <w:tcW w:w="888" w:type="pct"/>
            <w:tcBorders>
              <w:top w:val="single" w:sz="4" w:space="0" w:color="7F7F7F"/>
              <w:left w:val="nil"/>
              <w:bottom w:val="single" w:sz="4" w:space="0" w:color="7F7F7F"/>
              <w:right w:val="nil"/>
            </w:tcBorders>
            <w:noWrap/>
            <w:hideMark/>
          </w:tcPr>
          <w:p w14:paraId="5FA82922" w14:textId="77777777" w:rsidR="00FB69AC" w:rsidRPr="00FB69AC" w:rsidRDefault="00FB69AC">
            <w:pPr>
              <w:spacing w:before="120"/>
              <w:jc w:val="both"/>
              <w:rPr>
                <w:rFonts w:cs="Arial"/>
                <w:b/>
                <w:bCs/>
                <w:sz w:val="20"/>
                <w:szCs w:val="20"/>
              </w:rPr>
            </w:pPr>
            <w:r w:rsidRPr="00FB69AC">
              <w:rPr>
                <w:rFonts w:cs="Arial"/>
                <w:b/>
                <w:bCs/>
                <w:sz w:val="20"/>
                <w:szCs w:val="20"/>
              </w:rPr>
              <w:t>Resultado</w:t>
            </w:r>
          </w:p>
        </w:tc>
      </w:tr>
      <w:tr w:rsidR="00FB69AC" w:rsidRPr="00FB69AC" w14:paraId="0D005782" w14:textId="77777777" w:rsidTr="00FB69AC">
        <w:trPr>
          <w:trHeight w:val="300"/>
          <w:jc w:val="center"/>
        </w:trPr>
        <w:tc>
          <w:tcPr>
            <w:tcW w:w="2482" w:type="pct"/>
            <w:tcBorders>
              <w:top w:val="nil"/>
              <w:left w:val="nil"/>
              <w:bottom w:val="nil"/>
              <w:right w:val="nil"/>
            </w:tcBorders>
            <w:noWrap/>
            <w:hideMark/>
          </w:tcPr>
          <w:p w14:paraId="727C085A" w14:textId="77777777" w:rsidR="00FB69AC" w:rsidRPr="00FB69AC" w:rsidRDefault="00FB69AC">
            <w:pPr>
              <w:spacing w:before="120"/>
              <w:jc w:val="both"/>
              <w:rPr>
                <w:rFonts w:cs="Arial"/>
                <w:sz w:val="20"/>
                <w:szCs w:val="20"/>
              </w:rPr>
            </w:pPr>
            <w:r w:rsidRPr="00FB69AC">
              <w:rPr>
                <w:rFonts w:cs="Arial"/>
                <w:sz w:val="20"/>
                <w:szCs w:val="20"/>
              </w:rPr>
              <w:t>PNAE</w:t>
            </w:r>
          </w:p>
        </w:tc>
        <w:tc>
          <w:tcPr>
            <w:tcW w:w="1630" w:type="pct"/>
            <w:tcBorders>
              <w:top w:val="nil"/>
              <w:left w:val="nil"/>
              <w:bottom w:val="nil"/>
              <w:right w:val="nil"/>
            </w:tcBorders>
            <w:noWrap/>
            <w:hideMark/>
          </w:tcPr>
          <w:p w14:paraId="1B5946A1" w14:textId="77777777" w:rsidR="00FB69AC" w:rsidRPr="00FB69AC" w:rsidRDefault="00FB69AC">
            <w:pPr>
              <w:spacing w:before="120"/>
              <w:jc w:val="both"/>
              <w:rPr>
                <w:rFonts w:cs="Arial"/>
                <w:sz w:val="20"/>
                <w:szCs w:val="20"/>
              </w:rPr>
            </w:pPr>
            <w:r w:rsidRPr="00FB69AC">
              <w:rPr>
                <w:rFonts w:cs="Arial"/>
                <w:sz w:val="20"/>
                <w:szCs w:val="20"/>
              </w:rPr>
              <w:t>(1,01 – 1,0) x 100</w:t>
            </w:r>
          </w:p>
        </w:tc>
        <w:tc>
          <w:tcPr>
            <w:tcW w:w="888" w:type="pct"/>
            <w:tcBorders>
              <w:top w:val="nil"/>
              <w:left w:val="nil"/>
              <w:bottom w:val="nil"/>
              <w:right w:val="nil"/>
            </w:tcBorders>
            <w:noWrap/>
            <w:hideMark/>
          </w:tcPr>
          <w:p w14:paraId="4AF7518C" w14:textId="77777777" w:rsidR="00FB69AC" w:rsidRPr="00FB69AC" w:rsidRDefault="00FB69AC">
            <w:pPr>
              <w:spacing w:before="120"/>
              <w:jc w:val="both"/>
              <w:rPr>
                <w:rFonts w:cs="Arial"/>
                <w:sz w:val="20"/>
                <w:szCs w:val="20"/>
              </w:rPr>
            </w:pPr>
            <w:r w:rsidRPr="00FB69AC">
              <w:rPr>
                <w:rFonts w:cs="Arial"/>
                <w:sz w:val="20"/>
                <w:szCs w:val="20"/>
              </w:rPr>
              <w:t>1%</w:t>
            </w:r>
          </w:p>
        </w:tc>
      </w:tr>
      <w:tr w:rsidR="00FB69AC" w:rsidRPr="00FB69AC" w14:paraId="38ADC737" w14:textId="77777777" w:rsidTr="00FB69AC">
        <w:trPr>
          <w:trHeight w:val="321"/>
          <w:jc w:val="center"/>
        </w:trPr>
        <w:tc>
          <w:tcPr>
            <w:tcW w:w="2482" w:type="pct"/>
            <w:tcBorders>
              <w:top w:val="single" w:sz="4" w:space="0" w:color="7F7F7F"/>
              <w:left w:val="nil"/>
              <w:bottom w:val="single" w:sz="4" w:space="0" w:color="7F7F7F"/>
              <w:right w:val="nil"/>
            </w:tcBorders>
            <w:noWrap/>
            <w:hideMark/>
          </w:tcPr>
          <w:p w14:paraId="6129BC10" w14:textId="77777777" w:rsidR="00FB69AC" w:rsidRPr="00FB69AC" w:rsidRDefault="00FB69AC">
            <w:pPr>
              <w:spacing w:before="120"/>
              <w:jc w:val="both"/>
              <w:rPr>
                <w:rFonts w:cs="Arial"/>
                <w:sz w:val="20"/>
                <w:szCs w:val="20"/>
              </w:rPr>
            </w:pPr>
            <w:r w:rsidRPr="00FB69AC">
              <w:rPr>
                <w:rFonts w:cs="Arial"/>
                <w:sz w:val="20"/>
                <w:szCs w:val="20"/>
              </w:rPr>
              <w:t>ESTAF</w:t>
            </w:r>
          </w:p>
        </w:tc>
        <w:tc>
          <w:tcPr>
            <w:tcW w:w="1630" w:type="pct"/>
            <w:tcBorders>
              <w:top w:val="single" w:sz="4" w:space="0" w:color="7F7F7F"/>
              <w:left w:val="nil"/>
              <w:bottom w:val="single" w:sz="4" w:space="0" w:color="7F7F7F"/>
              <w:right w:val="nil"/>
            </w:tcBorders>
            <w:noWrap/>
            <w:hideMark/>
          </w:tcPr>
          <w:p w14:paraId="1920A79A" w14:textId="77777777" w:rsidR="00FB69AC" w:rsidRPr="00FB69AC" w:rsidRDefault="00FB69AC">
            <w:pPr>
              <w:spacing w:before="120"/>
              <w:jc w:val="both"/>
              <w:rPr>
                <w:rFonts w:cs="Arial"/>
                <w:sz w:val="20"/>
                <w:szCs w:val="20"/>
              </w:rPr>
            </w:pPr>
            <w:r w:rsidRPr="00FB69AC">
              <w:rPr>
                <w:rFonts w:cs="Arial"/>
                <w:sz w:val="20"/>
                <w:szCs w:val="20"/>
              </w:rPr>
              <w:t>(1,0 – 1,0) x 100</w:t>
            </w:r>
          </w:p>
        </w:tc>
        <w:tc>
          <w:tcPr>
            <w:tcW w:w="888" w:type="pct"/>
            <w:tcBorders>
              <w:top w:val="single" w:sz="4" w:space="0" w:color="7F7F7F"/>
              <w:left w:val="nil"/>
              <w:bottom w:val="single" w:sz="4" w:space="0" w:color="7F7F7F"/>
              <w:right w:val="nil"/>
            </w:tcBorders>
            <w:noWrap/>
            <w:hideMark/>
          </w:tcPr>
          <w:p w14:paraId="14CA871B" w14:textId="77777777" w:rsidR="00FB69AC" w:rsidRPr="00FB69AC" w:rsidRDefault="00FB69AC">
            <w:pPr>
              <w:spacing w:before="120"/>
              <w:jc w:val="both"/>
              <w:rPr>
                <w:rFonts w:cs="Arial"/>
                <w:sz w:val="20"/>
                <w:szCs w:val="20"/>
              </w:rPr>
            </w:pPr>
            <w:r w:rsidRPr="00FB69AC">
              <w:rPr>
                <w:rFonts w:cs="Arial"/>
                <w:sz w:val="20"/>
                <w:szCs w:val="20"/>
              </w:rPr>
              <w:t>0%</w:t>
            </w:r>
          </w:p>
        </w:tc>
      </w:tr>
      <w:tr w:rsidR="00FB69AC" w:rsidRPr="00FB69AC" w14:paraId="0877552C" w14:textId="77777777" w:rsidTr="00FB69AC">
        <w:trPr>
          <w:trHeight w:val="300"/>
          <w:jc w:val="center"/>
        </w:trPr>
        <w:tc>
          <w:tcPr>
            <w:tcW w:w="2482" w:type="pct"/>
            <w:tcBorders>
              <w:top w:val="nil"/>
              <w:left w:val="nil"/>
              <w:bottom w:val="nil"/>
              <w:right w:val="nil"/>
            </w:tcBorders>
            <w:noWrap/>
            <w:hideMark/>
          </w:tcPr>
          <w:p w14:paraId="7DC0497E" w14:textId="77777777" w:rsidR="00FB69AC" w:rsidRPr="00FB69AC" w:rsidRDefault="00FB69AC">
            <w:pPr>
              <w:spacing w:before="120"/>
              <w:jc w:val="both"/>
              <w:rPr>
                <w:rFonts w:cs="Arial"/>
                <w:sz w:val="20"/>
                <w:szCs w:val="20"/>
              </w:rPr>
            </w:pPr>
            <w:r w:rsidRPr="00FB69AC">
              <w:rPr>
                <w:rFonts w:cs="Arial"/>
                <w:sz w:val="20"/>
                <w:szCs w:val="20"/>
              </w:rPr>
              <w:lastRenderedPageBreak/>
              <w:t>ASSIGOV</w:t>
            </w:r>
          </w:p>
        </w:tc>
        <w:tc>
          <w:tcPr>
            <w:tcW w:w="1630" w:type="pct"/>
            <w:tcBorders>
              <w:top w:val="nil"/>
              <w:left w:val="nil"/>
              <w:bottom w:val="nil"/>
              <w:right w:val="nil"/>
            </w:tcBorders>
            <w:noWrap/>
            <w:hideMark/>
          </w:tcPr>
          <w:p w14:paraId="54D04FAC" w14:textId="77777777" w:rsidR="00FB69AC" w:rsidRPr="00FB69AC" w:rsidRDefault="00FB69AC">
            <w:pPr>
              <w:spacing w:before="120"/>
              <w:jc w:val="both"/>
              <w:rPr>
                <w:rFonts w:cs="Arial"/>
                <w:sz w:val="20"/>
                <w:szCs w:val="20"/>
              </w:rPr>
            </w:pPr>
            <w:r w:rsidRPr="00FB69AC">
              <w:rPr>
                <w:rFonts w:cs="Arial"/>
                <w:sz w:val="20"/>
                <w:szCs w:val="20"/>
              </w:rPr>
              <w:t>(1,0 – 1,0) x 100</w:t>
            </w:r>
          </w:p>
        </w:tc>
        <w:tc>
          <w:tcPr>
            <w:tcW w:w="888" w:type="pct"/>
            <w:tcBorders>
              <w:top w:val="nil"/>
              <w:left w:val="nil"/>
              <w:bottom w:val="nil"/>
              <w:right w:val="nil"/>
            </w:tcBorders>
            <w:noWrap/>
            <w:hideMark/>
          </w:tcPr>
          <w:p w14:paraId="568D5EB6" w14:textId="77777777" w:rsidR="00FB69AC" w:rsidRPr="00FB69AC" w:rsidRDefault="00FB69AC">
            <w:pPr>
              <w:spacing w:before="120"/>
              <w:jc w:val="both"/>
              <w:rPr>
                <w:rFonts w:cs="Arial"/>
                <w:sz w:val="20"/>
                <w:szCs w:val="20"/>
              </w:rPr>
            </w:pPr>
            <w:r w:rsidRPr="00FB69AC">
              <w:rPr>
                <w:rFonts w:cs="Arial"/>
                <w:sz w:val="20"/>
                <w:szCs w:val="20"/>
              </w:rPr>
              <w:t>0%</w:t>
            </w:r>
          </w:p>
        </w:tc>
      </w:tr>
      <w:tr w:rsidR="00FB69AC" w:rsidRPr="00FB69AC" w14:paraId="7984C6B2" w14:textId="77777777" w:rsidTr="00FB69AC">
        <w:trPr>
          <w:trHeight w:val="294"/>
          <w:jc w:val="center"/>
        </w:trPr>
        <w:tc>
          <w:tcPr>
            <w:tcW w:w="2482" w:type="pct"/>
            <w:tcBorders>
              <w:top w:val="single" w:sz="4" w:space="0" w:color="7F7F7F"/>
              <w:left w:val="nil"/>
              <w:bottom w:val="single" w:sz="4" w:space="0" w:color="7F7F7F"/>
              <w:right w:val="nil"/>
            </w:tcBorders>
            <w:noWrap/>
            <w:hideMark/>
          </w:tcPr>
          <w:p w14:paraId="650B1F6C" w14:textId="77777777" w:rsidR="00FB69AC" w:rsidRPr="00FB69AC" w:rsidRDefault="00FB69AC">
            <w:pPr>
              <w:spacing w:before="120"/>
              <w:jc w:val="both"/>
              <w:rPr>
                <w:rFonts w:cs="Arial"/>
                <w:sz w:val="20"/>
                <w:szCs w:val="20"/>
              </w:rPr>
            </w:pPr>
            <w:r w:rsidRPr="00FB69AC">
              <w:rPr>
                <w:rFonts w:cs="Arial"/>
                <w:sz w:val="20"/>
                <w:szCs w:val="20"/>
              </w:rPr>
              <w:t>VALORAD</w:t>
            </w:r>
          </w:p>
        </w:tc>
        <w:tc>
          <w:tcPr>
            <w:tcW w:w="1630" w:type="pct"/>
            <w:tcBorders>
              <w:top w:val="single" w:sz="4" w:space="0" w:color="7F7F7F"/>
              <w:left w:val="nil"/>
              <w:bottom w:val="single" w:sz="4" w:space="0" w:color="7F7F7F"/>
              <w:right w:val="nil"/>
            </w:tcBorders>
            <w:noWrap/>
            <w:hideMark/>
          </w:tcPr>
          <w:p w14:paraId="76C1530A" w14:textId="77777777" w:rsidR="00FB69AC" w:rsidRPr="00FB69AC" w:rsidRDefault="00FB69AC">
            <w:pPr>
              <w:spacing w:before="120"/>
              <w:jc w:val="both"/>
              <w:rPr>
                <w:rFonts w:cs="Arial"/>
                <w:sz w:val="20"/>
                <w:szCs w:val="20"/>
              </w:rPr>
            </w:pPr>
            <w:r w:rsidRPr="00FB69AC">
              <w:rPr>
                <w:rFonts w:cs="Arial"/>
                <w:sz w:val="20"/>
                <w:szCs w:val="20"/>
              </w:rPr>
              <w:t>(0,96 – 1,0) x 100</w:t>
            </w:r>
          </w:p>
        </w:tc>
        <w:tc>
          <w:tcPr>
            <w:tcW w:w="888" w:type="pct"/>
            <w:tcBorders>
              <w:top w:val="single" w:sz="4" w:space="0" w:color="7F7F7F"/>
              <w:left w:val="nil"/>
              <w:bottom w:val="single" w:sz="4" w:space="0" w:color="7F7F7F"/>
              <w:right w:val="nil"/>
            </w:tcBorders>
            <w:noWrap/>
            <w:hideMark/>
          </w:tcPr>
          <w:p w14:paraId="719B9A8B" w14:textId="77777777" w:rsidR="00FB69AC" w:rsidRPr="00FB69AC" w:rsidRDefault="00FB69AC">
            <w:pPr>
              <w:spacing w:before="120"/>
              <w:jc w:val="both"/>
              <w:rPr>
                <w:rFonts w:cs="Arial"/>
                <w:sz w:val="20"/>
                <w:szCs w:val="20"/>
              </w:rPr>
            </w:pPr>
            <w:r w:rsidRPr="00FB69AC">
              <w:rPr>
                <w:rFonts w:cs="Arial"/>
                <w:sz w:val="20"/>
                <w:szCs w:val="20"/>
              </w:rPr>
              <w:t>-4%</w:t>
            </w:r>
          </w:p>
        </w:tc>
      </w:tr>
      <w:tr w:rsidR="00FB69AC" w:rsidRPr="00FB69AC" w14:paraId="2B2225CD" w14:textId="77777777" w:rsidTr="00FB69AC">
        <w:trPr>
          <w:trHeight w:val="300"/>
          <w:jc w:val="center"/>
        </w:trPr>
        <w:tc>
          <w:tcPr>
            <w:tcW w:w="2482" w:type="pct"/>
            <w:tcBorders>
              <w:top w:val="single" w:sz="4" w:space="0" w:color="7F7F7F"/>
              <w:left w:val="nil"/>
              <w:bottom w:val="single" w:sz="4" w:space="0" w:color="7F7F7F"/>
              <w:right w:val="nil"/>
            </w:tcBorders>
            <w:noWrap/>
            <w:hideMark/>
          </w:tcPr>
          <w:p w14:paraId="75C792C5" w14:textId="77777777" w:rsidR="00FB69AC" w:rsidRPr="00FB69AC" w:rsidRDefault="00FB69AC">
            <w:pPr>
              <w:spacing w:before="120"/>
              <w:jc w:val="both"/>
              <w:rPr>
                <w:rFonts w:cs="Arial"/>
                <w:sz w:val="20"/>
                <w:szCs w:val="20"/>
              </w:rPr>
            </w:pPr>
            <w:r w:rsidRPr="00FB69AC">
              <w:rPr>
                <w:rFonts w:cs="Arial"/>
                <w:sz w:val="20"/>
                <w:szCs w:val="20"/>
              </w:rPr>
              <w:t>PRONAF</w:t>
            </w:r>
          </w:p>
        </w:tc>
        <w:tc>
          <w:tcPr>
            <w:tcW w:w="1630" w:type="pct"/>
            <w:tcBorders>
              <w:top w:val="single" w:sz="4" w:space="0" w:color="7F7F7F"/>
              <w:left w:val="nil"/>
              <w:bottom w:val="single" w:sz="4" w:space="0" w:color="7F7F7F"/>
              <w:right w:val="nil"/>
            </w:tcBorders>
            <w:noWrap/>
            <w:hideMark/>
          </w:tcPr>
          <w:p w14:paraId="0456965E" w14:textId="77777777" w:rsidR="00FB69AC" w:rsidRPr="00FB69AC" w:rsidRDefault="00FB69AC">
            <w:pPr>
              <w:spacing w:before="120"/>
              <w:jc w:val="both"/>
              <w:rPr>
                <w:rFonts w:cs="Arial"/>
                <w:sz w:val="20"/>
                <w:szCs w:val="20"/>
              </w:rPr>
            </w:pPr>
            <w:r w:rsidRPr="00FB69AC">
              <w:rPr>
                <w:rFonts w:cs="Arial"/>
                <w:sz w:val="20"/>
                <w:szCs w:val="20"/>
              </w:rPr>
              <w:t>(0,99 – 1,0) x 100</w:t>
            </w:r>
          </w:p>
        </w:tc>
        <w:tc>
          <w:tcPr>
            <w:tcW w:w="888" w:type="pct"/>
            <w:tcBorders>
              <w:top w:val="single" w:sz="4" w:space="0" w:color="7F7F7F"/>
              <w:left w:val="nil"/>
              <w:bottom w:val="single" w:sz="4" w:space="0" w:color="7F7F7F"/>
              <w:right w:val="nil"/>
            </w:tcBorders>
            <w:noWrap/>
            <w:hideMark/>
          </w:tcPr>
          <w:p w14:paraId="08D33EF0" w14:textId="77777777" w:rsidR="00FB69AC" w:rsidRPr="00FB69AC" w:rsidRDefault="00FB69AC">
            <w:pPr>
              <w:spacing w:before="120"/>
              <w:jc w:val="both"/>
              <w:rPr>
                <w:rFonts w:cs="Arial"/>
                <w:sz w:val="20"/>
                <w:szCs w:val="20"/>
              </w:rPr>
            </w:pPr>
            <w:r w:rsidRPr="00FB69AC">
              <w:rPr>
                <w:rFonts w:cs="Arial"/>
                <w:sz w:val="20"/>
                <w:szCs w:val="20"/>
              </w:rPr>
              <w:t>-1%</w:t>
            </w:r>
          </w:p>
        </w:tc>
      </w:tr>
    </w:tbl>
    <w:p w14:paraId="5810EE2E" w14:textId="77777777" w:rsidR="00FB69AC" w:rsidRPr="00FB69AC" w:rsidRDefault="00FB69AC" w:rsidP="00FB69AC">
      <w:pPr>
        <w:spacing w:before="120"/>
        <w:jc w:val="both"/>
        <w:rPr>
          <w:rFonts w:cs="Arial"/>
          <w:sz w:val="18"/>
          <w:szCs w:val="18"/>
        </w:rPr>
      </w:pPr>
      <w:r w:rsidRPr="00FB69AC">
        <w:rPr>
          <w:rFonts w:cs="Arial"/>
          <w:sz w:val="20"/>
          <w:szCs w:val="20"/>
        </w:rPr>
        <w:t>Fonte: Elaborado pelos autores.</w:t>
      </w:r>
    </w:p>
    <w:p w14:paraId="1C8E4A35" w14:textId="77777777" w:rsidR="00FB69AC" w:rsidRDefault="00FB69AC" w:rsidP="00FB69AC">
      <w:pPr>
        <w:spacing w:before="120"/>
        <w:ind w:firstLine="708"/>
        <w:jc w:val="both"/>
        <w:rPr>
          <w:rFonts w:cs="Arial"/>
        </w:rPr>
      </w:pPr>
      <w:r>
        <w:rPr>
          <w:rFonts w:cs="Arial"/>
        </w:rPr>
        <w:t>Valores superiores a 1 para a razão de chance, aumentam a probabilidade de classificação dos municípios no grupo de municípios com DAP Jurídica, enquanto valores inferiores a 1 diminuem tal probabilidade de classificação. Logo, a única variável que aumenta essa possibilidade em 1% é a PNAE. Já as variáveis VALORAD e PRONAF diminuem respectivamente as chances de existência de DAP Jurídica no município em 4% e 1%. As demais variáveis têm efeito nulo.</w:t>
      </w:r>
    </w:p>
    <w:p w14:paraId="19C19186" w14:textId="77777777" w:rsidR="00FB69AC" w:rsidRDefault="00FB69AC" w:rsidP="00FB69AC">
      <w:pPr>
        <w:spacing w:before="120"/>
        <w:ind w:firstLine="708"/>
        <w:jc w:val="both"/>
        <w:rPr>
          <w:rFonts w:cs="Arial"/>
        </w:rPr>
      </w:pPr>
    </w:p>
    <w:p w14:paraId="31F872FC" w14:textId="54E4F49C" w:rsidR="00FB69AC" w:rsidRDefault="00FB69AC" w:rsidP="00FB69AC">
      <w:pPr>
        <w:spacing w:before="120"/>
        <w:jc w:val="both"/>
        <w:rPr>
          <w:rFonts w:cs="Arial"/>
          <w:b/>
          <w:bCs/>
        </w:rPr>
      </w:pPr>
      <w:bookmarkStart w:id="7" w:name="_Toc99191371"/>
      <w:r>
        <w:rPr>
          <w:rFonts w:cs="Arial"/>
          <w:b/>
          <w:bCs/>
        </w:rPr>
        <w:t>4.3 Discussão</w:t>
      </w:r>
      <w:bookmarkEnd w:id="7"/>
      <w:r>
        <w:rPr>
          <w:rFonts w:cs="Arial"/>
          <w:b/>
          <w:bCs/>
        </w:rPr>
        <w:t xml:space="preserve"> </w:t>
      </w:r>
    </w:p>
    <w:p w14:paraId="235FF4F5" w14:textId="77777777" w:rsidR="00FB69AC" w:rsidRDefault="00FB69AC" w:rsidP="00FB69AC">
      <w:pPr>
        <w:spacing w:before="120"/>
        <w:ind w:firstLine="708"/>
        <w:jc w:val="both"/>
        <w:rPr>
          <w:rFonts w:cs="Arial"/>
        </w:rPr>
      </w:pPr>
      <w:r>
        <w:rPr>
          <w:rFonts w:cs="Arial"/>
        </w:rPr>
        <w:t xml:space="preserve">A partir dos resultados apresentados, pode-se constatar que o modelo estimado é considerado um bom parâmetro para a discussão e é possível rejeitar a hipótese nula. Ou seja, aceita-se a hipótese alternativa que indica que o percentual de aquisição de alimentos da agricultura familiar nos municípios influencia na organização formal dos agricultores de Minas Gerais. </w:t>
      </w:r>
    </w:p>
    <w:p w14:paraId="33451274" w14:textId="77777777" w:rsidR="00FB69AC" w:rsidRDefault="00FB69AC" w:rsidP="00FB69AC">
      <w:pPr>
        <w:spacing w:before="120"/>
        <w:ind w:firstLine="708"/>
        <w:jc w:val="both"/>
        <w:rPr>
          <w:rFonts w:cs="Arial"/>
        </w:rPr>
      </w:pPr>
      <w:r>
        <w:rPr>
          <w:rFonts w:cs="Arial"/>
        </w:rPr>
        <w:t xml:space="preserve">Analisando então o percentual da aquisição de alimentos da agricultura familiar (PNAE), é possível observar que esta variável aumenta em 1% a chance de existência de DAP Jurídica no município. Como a própria legislação incentiva a articulação em associações e cooperativas, o encontro dos canais de comercialização por intermédio do PNAE, estimula a busca pela DAP Jurídica. Por mais que os agricultores familiares possam comercializar com DAP física, a articulação por esses empreendimentos é critério de desempate nos editais públicos, como mencionado em Brasil (2020) e FNDE (2017). Assim é possível constatar que quanto maior for o volume de compras de produtos via PNAE, maiores são as chances de formalização de associações e cooperativas nos municípios mineiros. </w:t>
      </w:r>
    </w:p>
    <w:p w14:paraId="7BE1AF7F" w14:textId="77777777" w:rsidR="00FB69AC" w:rsidRDefault="00FB69AC" w:rsidP="00FB69AC">
      <w:pPr>
        <w:spacing w:before="120"/>
        <w:ind w:firstLine="708"/>
        <w:jc w:val="both"/>
        <w:rPr>
          <w:rFonts w:cs="Arial"/>
        </w:rPr>
      </w:pPr>
      <w:r>
        <w:rPr>
          <w:rFonts w:cs="Arial"/>
        </w:rPr>
        <w:t xml:space="preserve">Corroborando com o resultado encontrado, diversos autores (RIOS; CARVALHO, 2007; OLIVEIRA et al., 2013; COSTA; JUNIOR; SILVA, 2015; CUNHA; FREITAS; SALGADO, 2017) apontam que as organizações coletivas auxiliam os produtores a terem acesso às políticas de comercialização, amparando no atendimento da qualidade, logística e emissão de documentos necessários para atender às chamadas públicas. </w:t>
      </w:r>
    </w:p>
    <w:p w14:paraId="1C16A6A8" w14:textId="77777777" w:rsidR="00FB69AC" w:rsidRDefault="00FB69AC" w:rsidP="00FB69AC">
      <w:pPr>
        <w:spacing w:before="120"/>
        <w:ind w:firstLine="708"/>
        <w:jc w:val="both"/>
        <w:rPr>
          <w:rFonts w:cs="Arial"/>
        </w:rPr>
      </w:pPr>
      <w:r>
        <w:rPr>
          <w:rFonts w:cs="Arial"/>
        </w:rPr>
        <w:tab/>
        <w:t xml:space="preserve">A partir do aumento no número de estabelecimentos da agricultura familiar (ESTAF), observa-se que este não impacta em mudança para a existência de DAP Jurídica no município, pois seu coeficiente exponenciado é igual a 1, levando a um efeito nulo. Dessa forma, o aumento no número de estabelecimentos da agricultura familiar não interfere na busca de formalização. Tal quadro pode ser explicado pelo fato de muitos estabelecimentos se organizarem a partir da agroindústria, contando apenas com a mão de obra da própria casa para execução das atividades. Todavia, assim como Pires (2010) e Berchin </w:t>
      </w:r>
      <w:r>
        <w:rPr>
          <w:rFonts w:cs="Arial"/>
          <w:i/>
          <w:iCs/>
        </w:rPr>
        <w:t xml:space="preserve">et al. </w:t>
      </w:r>
      <w:r>
        <w:rPr>
          <w:rFonts w:cs="Arial"/>
        </w:rPr>
        <w:t>(2019), defende-se aqui, que a comercialização dos agricultores é mais viável quando estão em inseridos em associações ou cooperativas, dado os diferentes mercados públicos e privados possíveis.</w:t>
      </w:r>
    </w:p>
    <w:p w14:paraId="2C0436E7" w14:textId="77777777" w:rsidR="00FB69AC" w:rsidRDefault="00FB69AC" w:rsidP="00FB69AC">
      <w:pPr>
        <w:spacing w:before="120"/>
        <w:ind w:firstLine="708"/>
        <w:jc w:val="both"/>
        <w:rPr>
          <w:rFonts w:cs="Arial"/>
        </w:rPr>
      </w:pPr>
      <w:r>
        <w:rPr>
          <w:rFonts w:cs="Arial"/>
        </w:rPr>
        <w:lastRenderedPageBreak/>
        <w:t xml:space="preserve">O mesmo efeito nulo é observado na variável ASSIGOV, todavia essa não foi significante para explicar sua relação com a variável dependente. Apesar disso, a análise descritiva dos dados apontou uma carência na cobertura de orientação técnica para os produtores, visto que apenas 9,38% dos municípios puderam contar com alguma ação. Tal cenário vai na contramão com o desenvolvimento rural, no qual a assistência técnica possui papel fundamental para auxiliar os produtores em sua produção e a terem acessos às políticas públicas (GRISA; SCHNEIDER, 2014; PICOLOTTO, 2014). </w:t>
      </w:r>
    </w:p>
    <w:p w14:paraId="38BAF46A" w14:textId="77777777" w:rsidR="00FB69AC" w:rsidRDefault="00FB69AC" w:rsidP="00FB69AC">
      <w:pPr>
        <w:spacing w:before="120"/>
        <w:ind w:firstLine="708"/>
        <w:jc w:val="both"/>
        <w:rPr>
          <w:rFonts w:cs="Arial"/>
        </w:rPr>
      </w:pPr>
      <w:r>
        <w:rPr>
          <w:rFonts w:cs="Arial"/>
        </w:rPr>
        <w:t xml:space="preserve">Em consenso com os aspectos levantados de que a organização formal dos produtores pode favorecer o acesso a assistência pela própria organização, para auxiliá-los no acesso às políticas públicas de comercialização e crédito, Cunha, Freitas e Salgado (2017) e Santos, Ferreira e Campos (2019) apontam tais benefícios. Para os autores é criada uma ampla rede de apoio pela associação ou cooperativa, à medida que tais organizações auxiliam os agricultores em todas as etapas de produção e comercialização, prestando assistência em todas as etapas. </w:t>
      </w:r>
    </w:p>
    <w:p w14:paraId="773F5EB2" w14:textId="77777777" w:rsidR="00FB69AC" w:rsidRDefault="00FB69AC" w:rsidP="00FB69AC">
      <w:pPr>
        <w:spacing w:before="120"/>
        <w:ind w:firstLine="708"/>
        <w:jc w:val="both"/>
        <w:rPr>
          <w:rFonts w:cs="Arial"/>
        </w:rPr>
      </w:pPr>
      <w:r>
        <w:rPr>
          <w:rFonts w:cs="Arial"/>
        </w:rPr>
        <w:tab/>
        <w:t>Analisando o valor adicionado da agropecuária (VALORAD), observa-se que o aumento no percentual do valor adicionado diminui as chances de existência de DAP Jurídica nos municípios em 4%. Vale lembrar que a DAP jurídica é voltada para fins de agricultura familiar na qual a renda bruta não ultrapasse 360 mil reais, justificando assim que o aumento deste valor adicionado não favorece a emissão da DAP. Além disso é pertinente pontuar que essa variável representa o valor bruto de todas as atividades agropecuárias de cada município, indicando assim que a maior parte desses valores em Minas Gerais não advêm de associações ou cooperativas com DAP Jurídica ativa. Muitas empresas voltadas para o agronegócio podem estar respondendo por esta relação inversa entre as variáveis.</w:t>
      </w:r>
    </w:p>
    <w:p w14:paraId="5520CAD9" w14:textId="77777777" w:rsidR="00FB69AC" w:rsidRDefault="00FB69AC" w:rsidP="00FB69AC">
      <w:pPr>
        <w:spacing w:before="120"/>
        <w:ind w:firstLine="708"/>
        <w:jc w:val="both"/>
        <w:rPr>
          <w:rFonts w:cs="Arial"/>
        </w:rPr>
      </w:pPr>
      <w:r>
        <w:rPr>
          <w:rFonts w:cs="Arial"/>
        </w:rPr>
        <w:t xml:space="preserve">Por fim, a variável que indica o número de estabelecimentos no município que solicitaram financiamento via PRONAF (PRONAF), indica que quanto maior for o número de tais estabelecimentos, menor a chance de organização dos produtores em associações e cooperativas. Dado que o acesso ao PRONAF não depende da articulação nessas organizações, ou seja, não depende de DAP Jurídica e sim DAP Física, uma maior busca por crédito pelos municípios não impulsiona o desenvolvimento do associativismo e cooperativismo.  </w:t>
      </w:r>
    </w:p>
    <w:p w14:paraId="6612CE28" w14:textId="77777777" w:rsidR="00FB69AC" w:rsidRDefault="00FB69AC" w:rsidP="00FB69AC">
      <w:pPr>
        <w:spacing w:before="120"/>
        <w:ind w:firstLine="708"/>
        <w:jc w:val="both"/>
        <w:rPr>
          <w:rFonts w:cs="Arial"/>
        </w:rPr>
      </w:pPr>
      <w:r>
        <w:rPr>
          <w:rFonts w:cs="Arial"/>
        </w:rPr>
        <w:t>De forma paralela, ao analisar a razão do número de estabelecimentos que solicitaram financiamento via PRONAF e o total de estabelecimentos no estado, nota-se que apenas 8,94% dos estabelecimentos utilizaram tal programa em 2017. Justificando o resultado encontrado, Junqueira e Lima (2008), Cazella et al., (2020) e Schneider, Cazella e Mattei (2020), evidenciaram que a dificuldade para acessar o PRONAF está relacionada com o conhecimento fragmentado em relação às linhas de crédito e cumprimento das exigências dos agentes financiadores. Além disso, Cazella et al., (2020) ressalta que o não-recurso ao PRONAF está mais relacionado com a não demanda do produtor, ou o uso para outros fins, diferentes do planejado, explicando então o fato do acesso da política pública não depender da articulação em empreendimentos.</w:t>
      </w:r>
    </w:p>
    <w:p w14:paraId="7A7BC0E0" w14:textId="77777777" w:rsidR="00FB69AC" w:rsidRDefault="00FB69AC" w:rsidP="00FB69AC">
      <w:pPr>
        <w:spacing w:before="120"/>
        <w:ind w:firstLine="708"/>
        <w:jc w:val="both"/>
        <w:rPr>
          <w:rFonts w:cs="Arial"/>
        </w:rPr>
      </w:pPr>
      <w:r>
        <w:rPr>
          <w:rFonts w:cs="Arial"/>
        </w:rPr>
        <w:t xml:space="preserve">Ainda a respeito do PRONAF, Junqueira e Lima (2008) apontam um desequilíbrio da distribuição de crédito por regiões. Os autores citam a região Sul como a maior detentora do acesso e explica tal cenário devido ao peso econômico das agroindústrias e ao maior nível de organização dos agricultores familiares. Apesar </w:t>
      </w:r>
      <w:r>
        <w:rPr>
          <w:rFonts w:cs="Arial"/>
        </w:rPr>
        <w:lastRenderedPageBreak/>
        <w:t xml:space="preserve">deste estudo abordar outra região e não utilizar como comparativo o modelo criado no estudo de Junqueira e Lima (2008) é notável que as particularidades dos municípios mineiros têm impacto nesse baixo percentual de acesso ao crédito do PRONAF. </w:t>
      </w:r>
    </w:p>
    <w:p w14:paraId="369BACD7" w14:textId="4CCDD447" w:rsidR="00BC6315" w:rsidRPr="00190020" w:rsidRDefault="00A642BE" w:rsidP="00625E5B">
      <w:pPr>
        <w:spacing w:before="120"/>
        <w:ind w:firstLine="709"/>
        <w:rPr>
          <w:lang w:val="pt-BR"/>
        </w:rPr>
      </w:pPr>
      <w:r w:rsidRPr="00190020">
        <w:rPr>
          <w:rFonts w:eastAsia="Arial"/>
          <w:lang w:val="pt-BR"/>
        </w:rPr>
        <w:t> </w:t>
      </w:r>
    </w:p>
    <w:p w14:paraId="5256E180" w14:textId="6D865F3E" w:rsidR="00A642BE" w:rsidRPr="00190020" w:rsidRDefault="003A352A" w:rsidP="00A642BE">
      <w:pPr>
        <w:rPr>
          <w:rFonts w:cs="Arial"/>
          <w:lang w:val="pt-BR"/>
        </w:rPr>
      </w:pPr>
      <w:r w:rsidRPr="00190020">
        <w:rPr>
          <w:rFonts w:eastAsia="Arial" w:cs="Arial"/>
          <w:b/>
          <w:bCs/>
          <w:lang w:val="pt-BR"/>
        </w:rPr>
        <w:t xml:space="preserve">5. </w:t>
      </w:r>
      <w:r w:rsidR="00C60068" w:rsidRPr="00190020">
        <w:rPr>
          <w:rFonts w:eastAsia="Arial" w:cs="Arial"/>
          <w:b/>
          <w:bCs/>
          <w:lang w:val="pt-BR"/>
        </w:rPr>
        <w:t>Considerações finais</w:t>
      </w:r>
    </w:p>
    <w:p w14:paraId="7F13034A" w14:textId="77777777" w:rsidR="00A31AA9" w:rsidRDefault="00A31AA9" w:rsidP="00A31AA9">
      <w:pPr>
        <w:spacing w:before="120"/>
        <w:ind w:firstLine="708"/>
        <w:jc w:val="both"/>
        <w:rPr>
          <w:rFonts w:cs="Arial"/>
          <w:lang w:val="pt-BR"/>
        </w:rPr>
      </w:pPr>
      <w:r>
        <w:rPr>
          <w:rFonts w:cs="Arial"/>
        </w:rPr>
        <w:t xml:space="preserve">No intuito de analisar características das políticas públicas de agricultura familiar que influenciam na organização formal dos agricultores dos municípios de Minas Gerais, o presente estudo evidenciou que o aumento no percentual de aquisições de alimentos da agricultura familiar aumenta as chances de existência de DAP Jurídica nos municípios. De forma paralela foi possível observar que o aumento no valor adicionado da agropecuária e o aumento do número de estabelecimentos que solicitaram o PRONAF nos municípios, diminuem as chances da organização produtiva dos agricultores familiares em associações e cooperativas e consequentemente a existência de DAP Jurídica. As demais variáveis têm efeito nulo nessa relação. </w:t>
      </w:r>
    </w:p>
    <w:p w14:paraId="1772355B" w14:textId="77777777" w:rsidR="00A31AA9" w:rsidRDefault="00A31AA9" w:rsidP="00A31AA9">
      <w:pPr>
        <w:spacing w:before="120"/>
        <w:ind w:firstLine="708"/>
        <w:jc w:val="both"/>
        <w:rPr>
          <w:rFonts w:cs="Arial"/>
        </w:rPr>
      </w:pPr>
      <w:r>
        <w:rPr>
          <w:rFonts w:cs="Arial"/>
        </w:rPr>
        <w:t xml:space="preserve">Em geral, observa-se que as características de cada município mineiro no acesso e implementação das políticas públicas de agricultora familiar influenciam diretamente no estímulo ao associativismo e cooperativismo. Assim, além da contribuição metodológica e teórica para avançar na literatura a respeito do tema, acredita-se que a pesquisa aponte uma direção para gestores públicos municipais quanto a delimitação de parâmetros para impulsionar a formalização e o desenvolvimento dos agricultores via empreendimento. O aumento no volume de compras de produtos da agricultura familiar via editais públicos é o principal argumento para indicar essa delimitação. </w:t>
      </w:r>
    </w:p>
    <w:p w14:paraId="1375A71F" w14:textId="77777777" w:rsidR="00A31AA9" w:rsidRDefault="00A31AA9" w:rsidP="00A31AA9">
      <w:pPr>
        <w:spacing w:before="120"/>
        <w:ind w:firstLine="708"/>
        <w:jc w:val="both"/>
        <w:rPr>
          <w:rFonts w:cs="Arial"/>
        </w:rPr>
      </w:pPr>
      <w:r>
        <w:rPr>
          <w:rFonts w:cs="Arial"/>
        </w:rPr>
        <w:t xml:space="preserve">Além de incentivar a produção local e garantir o escoamento da produção, o incentivo a articulação dos agricultores familiares nos municípios mineiros em associações e cooperativas, tem potencial para melhorar os demais indicadores agropecuários e criar meios para o desenvolvimento local. Novos estudos podem corroborar com essa discussão, mensurando não só novas variáveis que também possam aumentar as razões de chance de formalização, mas compreender melhor os gargalos que impedem um maior desenvolvimento destes empreendimentos. </w:t>
      </w:r>
    </w:p>
    <w:p w14:paraId="58BFC8B1" w14:textId="047744C1" w:rsidR="00F56172" w:rsidRDefault="00A31AA9" w:rsidP="00A31AA9">
      <w:pPr>
        <w:spacing w:before="120"/>
        <w:ind w:firstLine="709"/>
        <w:rPr>
          <w:rFonts w:eastAsia="Arial"/>
          <w:lang w:val="pt-BR"/>
        </w:rPr>
      </w:pPr>
      <w:r>
        <w:rPr>
          <w:rFonts w:cs="Arial"/>
        </w:rPr>
        <w:t>De forma paralela, estudos futuros de natureza quantitativa e qualitativa podem investigar com maior riqueza de detalhes as características organizacionais e municipais que influenciam no acesso ou não de DAP Jurídica. Em face das características internas e externas das distintas instituições públicas brasileiras e das diferentes formas de descentralização das políticas públicas da agricultura familiar, as particularidades municipais ainda podem revelar muito do potencial de ampliação do associativismo e cooperativismo no país.</w:t>
      </w:r>
    </w:p>
    <w:p w14:paraId="6E9562A6" w14:textId="77777777" w:rsidR="00A31AA9" w:rsidRPr="00A31AA9" w:rsidRDefault="00A31AA9" w:rsidP="00A31AA9">
      <w:pPr>
        <w:spacing w:before="120"/>
        <w:ind w:firstLine="709"/>
        <w:rPr>
          <w:rFonts w:eastAsia="Arial"/>
          <w:lang w:val="pt-BR"/>
        </w:rPr>
      </w:pPr>
    </w:p>
    <w:p w14:paraId="3D01E5F3" w14:textId="29627CB0" w:rsidR="00A642BE" w:rsidRPr="00190020" w:rsidRDefault="00C60068" w:rsidP="00BC6315">
      <w:pPr>
        <w:pStyle w:val="Heading1"/>
      </w:pPr>
      <w:r w:rsidRPr="00190020">
        <w:rPr>
          <w:rFonts w:eastAsia="Arial"/>
        </w:rPr>
        <w:t>Referências</w:t>
      </w:r>
    </w:p>
    <w:p w14:paraId="09E120A7" w14:textId="77777777" w:rsidR="00A31AA9" w:rsidRPr="00152D03" w:rsidRDefault="00A31AA9" w:rsidP="00152D03">
      <w:pPr>
        <w:spacing w:before="240"/>
        <w:jc w:val="both"/>
        <w:rPr>
          <w:rFonts w:eastAsia="Arial"/>
          <w:lang w:val="en-US"/>
        </w:rPr>
      </w:pPr>
      <w:r w:rsidRPr="00A31AA9">
        <w:rPr>
          <w:rFonts w:eastAsia="Arial"/>
          <w:lang w:val="pt-BR"/>
        </w:rPr>
        <w:t xml:space="preserve">ABRANTES, J. </w:t>
      </w:r>
      <w:r w:rsidRPr="00152D03">
        <w:rPr>
          <w:rFonts w:eastAsia="Arial"/>
          <w:b/>
          <w:bCs/>
          <w:lang w:val="pt-BR"/>
        </w:rPr>
        <w:t xml:space="preserve">Associativismo e Cooperativismo: </w:t>
      </w:r>
      <w:r w:rsidRPr="00152D03">
        <w:rPr>
          <w:rFonts w:eastAsia="Arial"/>
          <w:lang w:val="pt-BR"/>
        </w:rPr>
        <w:t>como a união de pequenos empreendedores pode gerar emprego e renda no Brasil.</w:t>
      </w:r>
      <w:r w:rsidRPr="00A31AA9">
        <w:rPr>
          <w:rFonts w:eastAsia="Arial"/>
          <w:lang w:val="pt-BR"/>
        </w:rPr>
        <w:t xml:space="preserve"> </w:t>
      </w:r>
      <w:r w:rsidRPr="00152D03">
        <w:rPr>
          <w:rFonts w:eastAsia="Arial"/>
          <w:lang w:val="en-US"/>
        </w:rPr>
        <w:t xml:space="preserve">1. ed. Rio de Janeiro: </w:t>
      </w:r>
      <w:proofErr w:type="spellStart"/>
      <w:r w:rsidRPr="00152D03">
        <w:rPr>
          <w:rFonts w:eastAsia="Arial"/>
          <w:lang w:val="en-US"/>
        </w:rPr>
        <w:t>Interciência</w:t>
      </w:r>
      <w:proofErr w:type="spellEnd"/>
      <w:r w:rsidRPr="00152D03">
        <w:rPr>
          <w:rFonts w:eastAsia="Arial"/>
          <w:lang w:val="en-US"/>
        </w:rPr>
        <w:t xml:space="preserve">, 2004. </w:t>
      </w:r>
    </w:p>
    <w:p w14:paraId="1CAE61EC" w14:textId="77777777" w:rsidR="00A31AA9" w:rsidRPr="00152D03" w:rsidRDefault="00A31AA9" w:rsidP="00152D03">
      <w:pPr>
        <w:spacing w:before="240"/>
        <w:jc w:val="both"/>
        <w:rPr>
          <w:rFonts w:eastAsia="Arial"/>
          <w:lang w:val="en-US"/>
        </w:rPr>
      </w:pPr>
      <w:r w:rsidRPr="00152D03">
        <w:rPr>
          <w:rFonts w:eastAsia="Arial"/>
          <w:lang w:val="en-US"/>
        </w:rPr>
        <w:lastRenderedPageBreak/>
        <w:t xml:space="preserve">ALTMAN, M. Cooperative organizations as an engine of equitable rural economic development. </w:t>
      </w:r>
      <w:r w:rsidRPr="00152D03">
        <w:rPr>
          <w:rFonts w:eastAsia="Arial"/>
          <w:b/>
          <w:bCs/>
          <w:lang w:val="en-US"/>
        </w:rPr>
        <w:t>Journal of Co-operative Organization and Management</w:t>
      </w:r>
      <w:r w:rsidRPr="00152D03">
        <w:rPr>
          <w:rFonts w:eastAsia="Arial"/>
          <w:lang w:val="en-US"/>
        </w:rPr>
        <w:t xml:space="preserve">, v. 3, n. 1, p. 14–23, 2015. </w:t>
      </w:r>
    </w:p>
    <w:p w14:paraId="68EF49B2" w14:textId="77777777" w:rsidR="00A31AA9" w:rsidRPr="00A31AA9" w:rsidRDefault="00A31AA9" w:rsidP="00152D03">
      <w:pPr>
        <w:spacing w:before="240"/>
        <w:jc w:val="both"/>
        <w:rPr>
          <w:rFonts w:eastAsia="Arial"/>
          <w:lang w:val="pt-BR"/>
        </w:rPr>
      </w:pPr>
      <w:r w:rsidRPr="00A31AA9">
        <w:rPr>
          <w:rFonts w:eastAsia="Arial"/>
          <w:lang w:val="pt-BR"/>
        </w:rPr>
        <w:t xml:space="preserve">BELIK, W.; DOMENE, S. M. A. Experiências de programas combinados de alimentação escolar e desenvolvimento local em São Paulo - Brasil. </w:t>
      </w:r>
      <w:r w:rsidRPr="00152D03">
        <w:rPr>
          <w:rFonts w:eastAsia="Arial"/>
          <w:b/>
          <w:bCs/>
          <w:lang w:val="pt-BR"/>
        </w:rPr>
        <w:t xml:space="preserve">Revista </w:t>
      </w:r>
      <w:proofErr w:type="spellStart"/>
      <w:r w:rsidRPr="00152D03">
        <w:rPr>
          <w:rFonts w:eastAsia="Arial"/>
          <w:b/>
          <w:bCs/>
          <w:lang w:val="pt-BR"/>
        </w:rPr>
        <w:t>Agroalimentária</w:t>
      </w:r>
      <w:proofErr w:type="spellEnd"/>
      <w:r w:rsidRPr="00A31AA9">
        <w:rPr>
          <w:rFonts w:eastAsia="Arial"/>
          <w:lang w:val="pt-BR"/>
        </w:rPr>
        <w:t>, São Paulo, v. 18, n. 34, p. 57, 2012.</w:t>
      </w:r>
    </w:p>
    <w:p w14:paraId="3EEB0F1A" w14:textId="77777777" w:rsidR="00A31AA9" w:rsidRPr="00A31AA9" w:rsidRDefault="00A31AA9" w:rsidP="00152D03">
      <w:pPr>
        <w:spacing w:before="240"/>
        <w:jc w:val="both"/>
        <w:rPr>
          <w:rFonts w:eastAsia="Arial"/>
          <w:lang w:val="pt-BR"/>
        </w:rPr>
      </w:pPr>
      <w:r w:rsidRPr="00A31AA9">
        <w:rPr>
          <w:rFonts w:eastAsia="Arial"/>
          <w:lang w:val="pt-BR"/>
        </w:rPr>
        <w:t xml:space="preserve">BERCHIN, I. I et al. </w:t>
      </w:r>
      <w:r w:rsidRPr="00152D03">
        <w:rPr>
          <w:rFonts w:eastAsia="Arial"/>
          <w:lang w:val="en-US"/>
        </w:rPr>
        <w:t xml:space="preserve">The contributions of public policies for strengthening family farming and increasing food security: The case of Brazil. </w:t>
      </w:r>
      <w:r w:rsidRPr="00152D03">
        <w:rPr>
          <w:rFonts w:eastAsia="Arial"/>
          <w:b/>
          <w:bCs/>
          <w:lang w:val="pt-BR"/>
        </w:rPr>
        <w:t xml:space="preserve">Land use </w:t>
      </w:r>
      <w:proofErr w:type="spellStart"/>
      <w:r w:rsidRPr="00152D03">
        <w:rPr>
          <w:rFonts w:eastAsia="Arial"/>
          <w:b/>
          <w:bCs/>
          <w:lang w:val="pt-BR"/>
        </w:rPr>
        <w:t>Policy</w:t>
      </w:r>
      <w:proofErr w:type="spellEnd"/>
      <w:r w:rsidRPr="00A31AA9">
        <w:rPr>
          <w:rFonts w:eastAsia="Arial"/>
          <w:lang w:val="pt-BR"/>
        </w:rPr>
        <w:t xml:space="preserve">, v. 82, p. 573-584, 2019. </w:t>
      </w:r>
    </w:p>
    <w:p w14:paraId="5AAF1F54" w14:textId="2B4FBF9B" w:rsidR="00A31AA9" w:rsidRPr="00A31AA9" w:rsidRDefault="00A31AA9" w:rsidP="00152D03">
      <w:pPr>
        <w:spacing w:before="240"/>
        <w:jc w:val="both"/>
        <w:rPr>
          <w:rFonts w:eastAsia="Arial"/>
          <w:lang w:val="pt-BR"/>
        </w:rPr>
      </w:pPr>
      <w:r w:rsidRPr="00A31AA9">
        <w:rPr>
          <w:rFonts w:eastAsia="Arial"/>
          <w:lang w:val="pt-BR"/>
        </w:rPr>
        <w:t xml:space="preserve">BRASIL. </w:t>
      </w:r>
      <w:r w:rsidRPr="00152D03">
        <w:rPr>
          <w:rFonts w:eastAsia="Arial"/>
          <w:b/>
          <w:bCs/>
          <w:lang w:val="pt-BR"/>
        </w:rPr>
        <w:t>Lei</w:t>
      </w:r>
      <w:r w:rsidRPr="00A31AA9">
        <w:rPr>
          <w:rFonts w:eastAsia="Arial"/>
          <w:lang w:val="pt-BR"/>
        </w:rPr>
        <w:t xml:space="preserve"> nº 11.326, de 24 de julho de 2006. Estabelece as diretrizes para a formulação da Política Nacional da Agricultura Familiar e Empreendimentos Familiares Rurais. Diário Oficial da União, Brasília, DF. 2006. Disponível em:</w:t>
      </w:r>
      <w:hyperlink r:id="rId9" w:history="1">
        <w:r w:rsidR="00152D03" w:rsidRPr="00935429">
          <w:rPr>
            <w:rStyle w:val="Hyperlink"/>
            <w:rFonts w:eastAsia="Arial"/>
            <w:lang w:val="pt-BR"/>
          </w:rPr>
          <w:t>http://www.planalto.gov.br/ccivil_03/_Ato2004-2006/2006/Lei/L11326.htm</w:t>
        </w:r>
      </w:hyperlink>
      <w:r w:rsidR="00152D03">
        <w:rPr>
          <w:rFonts w:eastAsia="Arial"/>
          <w:lang w:val="pt-BR"/>
        </w:rPr>
        <w:t>.</w:t>
      </w:r>
      <w:r w:rsidRPr="00A31AA9">
        <w:rPr>
          <w:rFonts w:eastAsia="Arial"/>
          <w:lang w:val="pt-BR"/>
        </w:rPr>
        <w:t xml:space="preserve"> Acesso em 07 de março de 2022.</w:t>
      </w:r>
    </w:p>
    <w:p w14:paraId="0B51ACEA" w14:textId="6AF73A46" w:rsidR="00A31AA9" w:rsidRPr="00A31AA9" w:rsidRDefault="00A31AA9" w:rsidP="00152D03">
      <w:pPr>
        <w:spacing w:before="240"/>
        <w:jc w:val="both"/>
        <w:rPr>
          <w:rFonts w:eastAsia="Arial"/>
          <w:lang w:val="pt-BR"/>
        </w:rPr>
      </w:pPr>
      <w:r w:rsidRPr="00A31AA9">
        <w:rPr>
          <w:rFonts w:eastAsia="Arial"/>
          <w:lang w:val="pt-BR"/>
        </w:rPr>
        <w:t xml:space="preserve">BRASIL. </w:t>
      </w:r>
      <w:r w:rsidRPr="00152D03">
        <w:rPr>
          <w:rFonts w:eastAsia="Arial"/>
          <w:b/>
          <w:bCs/>
          <w:lang w:val="pt-BR"/>
        </w:rPr>
        <w:t>Lei</w:t>
      </w:r>
      <w:r w:rsidRPr="00A31AA9">
        <w:rPr>
          <w:rFonts w:eastAsia="Arial"/>
          <w:lang w:val="pt-BR"/>
        </w:rPr>
        <w:t xml:space="preserve"> nº 11.947, 16 de junho de 2009. Dispõe sobre o atendimento da alimentação escolar e do Programa Dinheiro Direto na Escola aos alunos da educação básica. Diário Oficial da União, Brasília, DF. 2009. Disponível em:</w:t>
      </w:r>
      <w:hyperlink r:id="rId10" w:history="1">
        <w:r w:rsidR="00152D03" w:rsidRPr="00935429">
          <w:rPr>
            <w:rStyle w:val="Hyperlink"/>
            <w:rFonts w:eastAsia="Arial"/>
            <w:lang w:val="pt-BR"/>
          </w:rPr>
          <w:t>https://www.planalto.gov.br/ccivil_03/_ato2007-2010/2009/lei/l11947.htm</w:t>
        </w:r>
      </w:hyperlink>
      <w:r w:rsidR="00152D03">
        <w:rPr>
          <w:rFonts w:eastAsia="Arial"/>
          <w:lang w:val="pt-BR"/>
        </w:rPr>
        <w:t xml:space="preserve"> . </w:t>
      </w:r>
      <w:r w:rsidRPr="00A31AA9">
        <w:rPr>
          <w:rFonts w:eastAsia="Arial"/>
          <w:lang w:val="pt-BR"/>
        </w:rPr>
        <w:t xml:space="preserve">Acesso em: 07 de março de 2022. </w:t>
      </w:r>
    </w:p>
    <w:p w14:paraId="576346DA" w14:textId="1E2C7790" w:rsidR="00A31AA9" w:rsidRPr="00A31AA9" w:rsidRDefault="00A31AA9" w:rsidP="00152D03">
      <w:pPr>
        <w:spacing w:before="240"/>
        <w:jc w:val="both"/>
        <w:rPr>
          <w:rFonts w:eastAsia="Arial"/>
          <w:lang w:val="pt-BR"/>
        </w:rPr>
      </w:pPr>
      <w:r w:rsidRPr="00A31AA9">
        <w:rPr>
          <w:rFonts w:eastAsia="Arial"/>
          <w:lang w:val="pt-BR"/>
        </w:rPr>
        <w:t xml:space="preserve">BRASIL. </w:t>
      </w:r>
      <w:r w:rsidRPr="00152D03">
        <w:rPr>
          <w:rFonts w:eastAsia="Arial"/>
          <w:b/>
          <w:bCs/>
          <w:lang w:val="pt-BR"/>
        </w:rPr>
        <w:t>Resolução</w:t>
      </w:r>
      <w:r w:rsidRPr="00A31AA9">
        <w:rPr>
          <w:rFonts w:eastAsia="Arial"/>
          <w:lang w:val="pt-BR"/>
        </w:rPr>
        <w:t xml:space="preserve"> nº 6, de 8 de maio de 2020. Dispõe sobre o atendimento da alimentação escolar aos alunos da educação básica no âmbito do Programa Nacional de Alimentação Escolar - PNAE. Disponível em: </w:t>
      </w:r>
      <w:hyperlink r:id="rId11" w:history="1">
        <w:r w:rsidR="00152D03" w:rsidRPr="00935429">
          <w:rPr>
            <w:rStyle w:val="Hyperlink"/>
            <w:rFonts w:eastAsia="Arial"/>
            <w:lang w:val="pt-BR"/>
          </w:rPr>
          <w:t>https://www.in.gov.br/en/web/dou/-/resolucao-n-6-de-8-de-maio-de-2020-256309972</w:t>
        </w:r>
      </w:hyperlink>
      <w:r w:rsidR="00152D03">
        <w:rPr>
          <w:rFonts w:eastAsia="Arial"/>
          <w:lang w:val="pt-BR"/>
        </w:rPr>
        <w:t xml:space="preserve"> </w:t>
      </w:r>
      <w:r w:rsidRPr="00A31AA9">
        <w:rPr>
          <w:rFonts w:eastAsia="Arial"/>
          <w:lang w:val="pt-BR"/>
        </w:rPr>
        <w:t xml:space="preserve">. Acesso em 08 de abril de 2022. </w:t>
      </w:r>
    </w:p>
    <w:p w14:paraId="16A1FBBB" w14:textId="2852FCAD" w:rsidR="00A31AA9" w:rsidRPr="00A31AA9" w:rsidRDefault="00A31AA9" w:rsidP="00152D03">
      <w:pPr>
        <w:spacing w:before="240"/>
        <w:jc w:val="both"/>
        <w:rPr>
          <w:rFonts w:eastAsia="Arial"/>
          <w:lang w:val="pt-BR"/>
        </w:rPr>
      </w:pPr>
      <w:r w:rsidRPr="00A31AA9">
        <w:rPr>
          <w:rFonts w:eastAsia="Arial"/>
          <w:lang w:val="pt-BR"/>
        </w:rPr>
        <w:t xml:space="preserve">BRASIL. </w:t>
      </w:r>
      <w:r w:rsidRPr="00152D03">
        <w:rPr>
          <w:rFonts w:eastAsia="Arial"/>
          <w:b/>
          <w:bCs/>
          <w:lang w:val="pt-BR"/>
        </w:rPr>
        <w:t xml:space="preserve">Lei </w:t>
      </w:r>
      <w:r w:rsidRPr="00A31AA9">
        <w:rPr>
          <w:rFonts w:eastAsia="Arial"/>
          <w:lang w:val="pt-BR"/>
        </w:rPr>
        <w:t xml:space="preserve">nº 14.284, 29 de dezembro de 2021. Institui o Programa Auxílio Brasil e o Programa Alimenta Brasil; define metas para taxas de pobreza; altera a Lei nº 8.742, de 7 de dezembro de 1993; revoga a Lei nº 10.836, de 9 de janeiro de 2004, e dispositivos das Leis n. 10.696, de 2 de julho de 2003, 12.512, de 14 de outubro de 2011, e 12.722, de 3 de outubro de 2012; e dá outras providências. Diário Oficial da União, Brasília, DF. 2021. Disponível em: </w:t>
      </w:r>
      <w:hyperlink r:id="rId12" w:history="1">
        <w:r w:rsidR="00152D03" w:rsidRPr="00935429">
          <w:rPr>
            <w:rStyle w:val="Hyperlink"/>
            <w:rFonts w:eastAsia="Arial"/>
            <w:lang w:val="pt-BR"/>
          </w:rPr>
          <w:t>https://www.sed.ms.gov.br/wp-content/uploads/2022/03/LEI-No-14.284-DE-29-DE-DEZEMBRO-DE-2021-PROGRAMA-AUXILIO-BRASIL.pdf</w:t>
        </w:r>
      </w:hyperlink>
      <w:r w:rsidR="00152D03">
        <w:rPr>
          <w:rFonts w:eastAsia="Arial"/>
          <w:lang w:val="pt-BR"/>
        </w:rPr>
        <w:t xml:space="preserve"> .</w:t>
      </w:r>
      <w:r w:rsidRPr="00A31AA9">
        <w:rPr>
          <w:rFonts w:eastAsia="Arial"/>
          <w:lang w:val="pt-BR"/>
        </w:rPr>
        <w:t xml:space="preserve">Acesso em 21 de março de 2022. </w:t>
      </w:r>
    </w:p>
    <w:p w14:paraId="5F42E2F0" w14:textId="77777777" w:rsidR="00A31AA9" w:rsidRPr="00A31AA9" w:rsidRDefault="00A31AA9" w:rsidP="00152D03">
      <w:pPr>
        <w:spacing w:before="240"/>
        <w:jc w:val="both"/>
        <w:rPr>
          <w:rFonts w:eastAsia="Arial"/>
          <w:lang w:val="pt-BR"/>
        </w:rPr>
      </w:pPr>
      <w:r w:rsidRPr="00A31AA9">
        <w:rPr>
          <w:rFonts w:eastAsia="Arial"/>
          <w:lang w:val="pt-BR"/>
        </w:rPr>
        <w:t xml:space="preserve">BUAINAIN, A. M.; SOUZA FILHO, H. M de. </w:t>
      </w:r>
      <w:r w:rsidRPr="00152D03">
        <w:rPr>
          <w:rFonts w:eastAsia="Arial"/>
          <w:b/>
          <w:bCs/>
          <w:lang w:val="pt-BR"/>
        </w:rPr>
        <w:t>Agricultura Familiar, Agroecologia e Desenvolvimento Sustentável:</w:t>
      </w:r>
      <w:r w:rsidRPr="00A31AA9">
        <w:rPr>
          <w:rFonts w:eastAsia="Arial"/>
          <w:lang w:val="pt-BR"/>
        </w:rPr>
        <w:t xml:space="preserve"> questões para debate. Série Desenvolvimento Rural Sustentável. Instituto Interamericano de Cooperação para a Agricultura (IICA), 1ª Edição, v.5, 2006.</w:t>
      </w:r>
    </w:p>
    <w:p w14:paraId="2408FF42" w14:textId="77777777" w:rsidR="00A31AA9" w:rsidRPr="00A31AA9" w:rsidRDefault="00A31AA9" w:rsidP="00152D03">
      <w:pPr>
        <w:spacing w:before="240"/>
        <w:jc w:val="both"/>
        <w:rPr>
          <w:rFonts w:eastAsia="Arial"/>
          <w:lang w:val="pt-BR"/>
        </w:rPr>
      </w:pPr>
      <w:r w:rsidRPr="00A31AA9">
        <w:rPr>
          <w:rFonts w:eastAsia="Arial"/>
          <w:lang w:val="pt-BR"/>
        </w:rPr>
        <w:t>CAZELLA, A. A.; CAPELLESSO, A. J.; SCHNEIDER, S. A abordagem do Não-Recurso a políticas públicas: o caso do crédito rural para a agricultura familiar</w:t>
      </w:r>
      <w:r w:rsidRPr="00152D03">
        <w:rPr>
          <w:rFonts w:eastAsia="Arial"/>
          <w:b/>
          <w:bCs/>
          <w:lang w:val="pt-BR"/>
        </w:rPr>
        <w:t>. Revista Política e Planejamento Regional</w:t>
      </w:r>
      <w:r w:rsidRPr="00A31AA9">
        <w:rPr>
          <w:rFonts w:eastAsia="Arial"/>
          <w:lang w:val="pt-BR"/>
        </w:rPr>
        <w:t xml:space="preserve">, v. 7, n. 1, p. 48–67, 2020. </w:t>
      </w:r>
    </w:p>
    <w:p w14:paraId="08355A4D" w14:textId="77777777" w:rsidR="00A31AA9" w:rsidRPr="00152D03" w:rsidRDefault="00A31AA9" w:rsidP="00152D03">
      <w:pPr>
        <w:spacing w:before="240"/>
        <w:jc w:val="both"/>
        <w:rPr>
          <w:rFonts w:eastAsia="Arial"/>
          <w:lang w:val="es-ES_tradnl"/>
        </w:rPr>
      </w:pPr>
      <w:r w:rsidRPr="00A31AA9">
        <w:rPr>
          <w:rFonts w:eastAsia="Arial"/>
          <w:lang w:val="pt-BR"/>
        </w:rPr>
        <w:t xml:space="preserve">CLOSAS, A. H.; FRANCHINI, N. B.; DUSICKA, M. A.; HISGEN, C. M. Modelo Logístico Explicativo De </w:t>
      </w:r>
      <w:proofErr w:type="spellStart"/>
      <w:r w:rsidRPr="00A31AA9">
        <w:rPr>
          <w:rFonts w:eastAsia="Arial"/>
          <w:lang w:val="pt-BR"/>
        </w:rPr>
        <w:t>Las</w:t>
      </w:r>
      <w:proofErr w:type="spellEnd"/>
      <w:r w:rsidRPr="00A31AA9">
        <w:rPr>
          <w:rFonts w:eastAsia="Arial"/>
          <w:lang w:val="pt-BR"/>
        </w:rPr>
        <w:t xml:space="preserve"> Relaciones Entre </w:t>
      </w:r>
      <w:proofErr w:type="spellStart"/>
      <w:r w:rsidRPr="00A31AA9">
        <w:rPr>
          <w:rFonts w:eastAsia="Arial"/>
          <w:lang w:val="pt-BR"/>
        </w:rPr>
        <w:t>Autoconcepto</w:t>
      </w:r>
      <w:proofErr w:type="spellEnd"/>
      <w:r w:rsidRPr="00A31AA9">
        <w:rPr>
          <w:rFonts w:eastAsia="Arial"/>
          <w:lang w:val="pt-BR"/>
        </w:rPr>
        <w:t xml:space="preserve"> Y </w:t>
      </w:r>
      <w:proofErr w:type="spellStart"/>
      <w:r w:rsidRPr="00A31AA9">
        <w:rPr>
          <w:rFonts w:eastAsia="Arial"/>
          <w:lang w:val="pt-BR"/>
        </w:rPr>
        <w:t>Rendimiento</w:t>
      </w:r>
      <w:proofErr w:type="spellEnd"/>
      <w:r w:rsidRPr="00A31AA9">
        <w:rPr>
          <w:rFonts w:eastAsia="Arial"/>
          <w:lang w:val="pt-BR"/>
        </w:rPr>
        <w:t xml:space="preserve"> Académico. </w:t>
      </w:r>
      <w:r w:rsidRPr="00152D03">
        <w:rPr>
          <w:rFonts w:eastAsia="Arial"/>
          <w:b/>
          <w:bCs/>
          <w:lang w:val="es-ES_tradnl"/>
        </w:rPr>
        <w:t xml:space="preserve">Revista de La Facultad de Ciencias Económicas – </w:t>
      </w:r>
      <w:proofErr w:type="spellStart"/>
      <w:r w:rsidRPr="00152D03">
        <w:rPr>
          <w:rFonts w:eastAsia="Arial"/>
          <w:b/>
          <w:bCs/>
          <w:lang w:val="es-ES_tradnl"/>
        </w:rPr>
        <w:t>Unne</w:t>
      </w:r>
      <w:proofErr w:type="spellEnd"/>
      <w:r w:rsidRPr="00152D03">
        <w:rPr>
          <w:rFonts w:eastAsia="Arial"/>
          <w:lang w:val="es-ES_tradnl"/>
        </w:rPr>
        <w:t>, n20, p. 187-208, 2018.</w:t>
      </w:r>
    </w:p>
    <w:p w14:paraId="01D5EEDA" w14:textId="77777777" w:rsidR="00A31AA9" w:rsidRPr="00A31AA9" w:rsidRDefault="00A31AA9" w:rsidP="00152D03">
      <w:pPr>
        <w:spacing w:before="240"/>
        <w:jc w:val="both"/>
        <w:rPr>
          <w:rFonts w:eastAsia="Arial"/>
          <w:lang w:val="pt-BR"/>
        </w:rPr>
      </w:pPr>
      <w:r w:rsidRPr="00A31AA9">
        <w:rPr>
          <w:rFonts w:eastAsia="Arial"/>
          <w:lang w:val="pt-BR"/>
        </w:rPr>
        <w:lastRenderedPageBreak/>
        <w:t xml:space="preserve">COSTA, B. A. L.; JUNIOR, P. C. G. A.; SILVA, M. G. As cooperativas de agricultura familiar e o mercado de compras governamentais em minas gerais. </w:t>
      </w:r>
      <w:r w:rsidRPr="00152D03">
        <w:rPr>
          <w:rFonts w:eastAsia="Arial"/>
          <w:b/>
          <w:bCs/>
          <w:lang w:val="pt-BR"/>
        </w:rPr>
        <w:t>Revista de Economia e Sociologia Rural</w:t>
      </w:r>
      <w:r w:rsidRPr="00A31AA9">
        <w:rPr>
          <w:rFonts w:eastAsia="Arial"/>
          <w:lang w:val="pt-BR"/>
        </w:rPr>
        <w:t xml:space="preserve">, v. 53, n. 1, p. 109–126, 2015. </w:t>
      </w:r>
    </w:p>
    <w:p w14:paraId="0738E17D" w14:textId="77777777" w:rsidR="00A31AA9" w:rsidRPr="00A31AA9" w:rsidRDefault="00A31AA9" w:rsidP="00152D03">
      <w:pPr>
        <w:spacing w:before="240"/>
        <w:jc w:val="both"/>
        <w:rPr>
          <w:rFonts w:eastAsia="Arial"/>
          <w:lang w:val="pt-BR"/>
        </w:rPr>
      </w:pPr>
      <w:r w:rsidRPr="00A31AA9">
        <w:rPr>
          <w:rFonts w:eastAsia="Arial"/>
          <w:lang w:val="pt-BR"/>
        </w:rPr>
        <w:t xml:space="preserve">CUNHA, W. A.; FREITAS, A. F.; SALGADO, R. J. S. F. Efeitos dos Programas Governamentais de Aquisição de Alimentos para a Agricultura Familiar em Espera Feliz, MG. </w:t>
      </w:r>
      <w:r w:rsidRPr="00152D03">
        <w:rPr>
          <w:rFonts w:eastAsia="Arial"/>
          <w:b/>
          <w:bCs/>
          <w:lang w:val="pt-BR"/>
        </w:rPr>
        <w:t>Revista de Economia e Sociologia Rural</w:t>
      </w:r>
      <w:r w:rsidRPr="00A31AA9">
        <w:rPr>
          <w:rFonts w:eastAsia="Arial"/>
          <w:lang w:val="pt-BR"/>
        </w:rPr>
        <w:t>, v. 55, n. 3, p. 427–444, set. 2017</w:t>
      </w:r>
    </w:p>
    <w:p w14:paraId="2C2F260C" w14:textId="72A2406B" w:rsidR="00A31AA9" w:rsidRPr="00A31AA9" w:rsidRDefault="00A31AA9" w:rsidP="00152D03">
      <w:pPr>
        <w:spacing w:before="240"/>
        <w:jc w:val="both"/>
        <w:rPr>
          <w:rFonts w:eastAsia="Arial"/>
          <w:lang w:val="pt-BR"/>
        </w:rPr>
      </w:pPr>
      <w:r w:rsidRPr="00152D03">
        <w:rPr>
          <w:rFonts w:eastAsia="Arial"/>
          <w:lang w:val="en-US"/>
        </w:rPr>
        <w:t xml:space="preserve">DATA SCIENCE TOPICS. </w:t>
      </w:r>
      <w:proofErr w:type="spellStart"/>
      <w:r w:rsidRPr="00152D03">
        <w:rPr>
          <w:rFonts w:eastAsia="Arial"/>
          <w:lang w:val="en-US"/>
        </w:rPr>
        <w:t>Psuedo</w:t>
      </w:r>
      <w:proofErr w:type="spellEnd"/>
      <w:r w:rsidRPr="00152D03">
        <w:rPr>
          <w:rFonts w:eastAsia="Arial"/>
          <w:lang w:val="en-US"/>
        </w:rPr>
        <w:t xml:space="preserve"> r-squared for logistic regression. </w:t>
      </w:r>
      <w:r w:rsidRPr="00A31AA9">
        <w:rPr>
          <w:rFonts w:eastAsia="Arial"/>
          <w:lang w:val="pt-BR"/>
        </w:rPr>
        <w:t xml:space="preserve">Disponível em: </w:t>
      </w:r>
      <w:hyperlink r:id="rId13" w:history="1">
        <w:r w:rsidR="00152D03" w:rsidRPr="00935429">
          <w:rPr>
            <w:rStyle w:val="Hyperlink"/>
            <w:rFonts w:eastAsia="Arial"/>
            <w:lang w:val="pt-BR"/>
          </w:rPr>
          <w:t>https://datascience.oneoffcoder.com/psuedo-r-squared-logistic-regression.html</w:t>
        </w:r>
      </w:hyperlink>
      <w:r w:rsidR="00152D03">
        <w:rPr>
          <w:rFonts w:eastAsia="Arial"/>
          <w:lang w:val="pt-BR"/>
        </w:rPr>
        <w:t xml:space="preserve">. </w:t>
      </w:r>
      <w:r w:rsidRPr="00A31AA9">
        <w:rPr>
          <w:rFonts w:eastAsia="Arial"/>
          <w:lang w:val="pt-BR"/>
        </w:rPr>
        <w:t xml:space="preserve">Acesso em 15 de março de 2022. </w:t>
      </w:r>
    </w:p>
    <w:p w14:paraId="27D35638" w14:textId="77777777" w:rsidR="00A31AA9" w:rsidRPr="00A31AA9" w:rsidRDefault="00A31AA9" w:rsidP="00152D03">
      <w:pPr>
        <w:spacing w:before="240"/>
        <w:jc w:val="both"/>
        <w:rPr>
          <w:rFonts w:eastAsia="Arial"/>
          <w:lang w:val="pt-BR"/>
        </w:rPr>
      </w:pPr>
      <w:r w:rsidRPr="00A31AA9">
        <w:rPr>
          <w:rFonts w:eastAsia="Arial"/>
          <w:lang w:val="pt-BR"/>
        </w:rPr>
        <w:t xml:space="preserve">ESQUERDO, V. F. DE S.; BERGAMASCO, S. M. P. P. Análise Sobre o Acesso aos Programas de Políticas Públicas da Agricultura Familiar nos Municípios do Circuito das Frutas (SP). </w:t>
      </w:r>
      <w:r w:rsidRPr="00551E56">
        <w:rPr>
          <w:rFonts w:eastAsia="Arial"/>
          <w:b/>
          <w:bCs/>
          <w:lang w:val="pt-BR"/>
        </w:rPr>
        <w:t>Revista de Economia e Sociologia Rural</w:t>
      </w:r>
      <w:r w:rsidRPr="00A31AA9">
        <w:rPr>
          <w:rFonts w:eastAsia="Arial"/>
          <w:lang w:val="pt-BR"/>
        </w:rPr>
        <w:t xml:space="preserve">, v. 52, p. 205–222, 2014. </w:t>
      </w:r>
    </w:p>
    <w:p w14:paraId="719F71F4" w14:textId="77777777" w:rsidR="00A31AA9" w:rsidRPr="00A31AA9" w:rsidRDefault="00A31AA9" w:rsidP="00152D03">
      <w:pPr>
        <w:spacing w:before="240"/>
        <w:jc w:val="both"/>
        <w:rPr>
          <w:rFonts w:eastAsia="Arial"/>
          <w:lang w:val="pt-BR"/>
        </w:rPr>
      </w:pPr>
      <w:r w:rsidRPr="00A31AA9">
        <w:rPr>
          <w:rFonts w:eastAsia="Arial"/>
          <w:lang w:val="pt-BR"/>
        </w:rPr>
        <w:t xml:space="preserve">FERIGOLLO, D. et al. Aquisição de produtos da agricultura familiar para alimentação escolar em municípios do Rio Grande do Sul. </w:t>
      </w:r>
      <w:r w:rsidRPr="00551E56">
        <w:rPr>
          <w:rFonts w:eastAsia="Arial"/>
          <w:b/>
          <w:bCs/>
          <w:lang w:val="pt-BR"/>
        </w:rPr>
        <w:t>Revista Saúde Pública</w:t>
      </w:r>
      <w:r w:rsidRPr="00A31AA9">
        <w:rPr>
          <w:rFonts w:eastAsia="Arial"/>
          <w:lang w:val="pt-BR"/>
        </w:rPr>
        <w:t xml:space="preserve">, v. 51, n. 6, p. 1–10, 2017. </w:t>
      </w:r>
    </w:p>
    <w:p w14:paraId="0CE38A67" w14:textId="77777777" w:rsidR="00A31AA9" w:rsidRPr="00A31AA9" w:rsidRDefault="00A31AA9" w:rsidP="00152D03">
      <w:pPr>
        <w:spacing w:before="240"/>
        <w:jc w:val="both"/>
        <w:rPr>
          <w:rFonts w:eastAsia="Arial"/>
          <w:lang w:val="pt-BR"/>
        </w:rPr>
      </w:pPr>
      <w:r w:rsidRPr="00A31AA9">
        <w:rPr>
          <w:rFonts w:eastAsia="Arial"/>
          <w:lang w:val="pt-BR"/>
        </w:rPr>
        <w:t xml:space="preserve">FERNANDES, A. A. T. et al. Leia este artigo se você quiser aprender regressão logística. </w:t>
      </w:r>
      <w:r w:rsidRPr="00551E56">
        <w:rPr>
          <w:rFonts w:eastAsia="Arial"/>
          <w:b/>
          <w:bCs/>
          <w:lang w:val="pt-BR"/>
        </w:rPr>
        <w:t>Revista de Sociologia e Política</w:t>
      </w:r>
      <w:r w:rsidRPr="00A31AA9">
        <w:rPr>
          <w:rFonts w:eastAsia="Arial"/>
          <w:lang w:val="pt-BR"/>
        </w:rPr>
        <w:t xml:space="preserve">, v. 28, n. 74, p. 20, 2020. </w:t>
      </w:r>
    </w:p>
    <w:p w14:paraId="10414ABE" w14:textId="693A5B22" w:rsidR="00A31AA9" w:rsidRPr="00A31AA9" w:rsidRDefault="00A31AA9" w:rsidP="00152D03">
      <w:pPr>
        <w:spacing w:before="240"/>
        <w:jc w:val="both"/>
        <w:rPr>
          <w:rFonts w:eastAsia="Arial"/>
          <w:lang w:val="pt-BR"/>
        </w:rPr>
      </w:pPr>
      <w:r w:rsidRPr="00A31AA9">
        <w:rPr>
          <w:rFonts w:eastAsia="Arial"/>
          <w:lang w:val="pt-BR"/>
        </w:rPr>
        <w:t>FNDE. Fundo Nacional de Desenvolvimento Escolar-Programas. PNAE. Brasília, 2017. Disponível em:</w:t>
      </w:r>
      <w:r w:rsidR="00551E56">
        <w:rPr>
          <w:rFonts w:eastAsia="Arial"/>
          <w:lang w:val="pt-BR"/>
        </w:rPr>
        <w:t xml:space="preserve"> </w:t>
      </w:r>
      <w:hyperlink r:id="rId14" w:history="1">
        <w:r w:rsidR="00551E56" w:rsidRPr="00935429">
          <w:rPr>
            <w:rStyle w:val="Hyperlink"/>
            <w:rFonts w:eastAsia="Arial"/>
            <w:lang w:val="pt-BR"/>
          </w:rPr>
          <w:t>http://www.fnde.gov.br/programas/alimentacao-escolar/alimentacaoescolar-historico</w:t>
        </w:r>
      </w:hyperlink>
      <w:r w:rsidR="00551E56">
        <w:rPr>
          <w:rFonts w:eastAsia="Arial"/>
          <w:lang w:val="pt-BR"/>
        </w:rPr>
        <w:t xml:space="preserve"> . </w:t>
      </w:r>
      <w:r w:rsidRPr="00A31AA9">
        <w:rPr>
          <w:rFonts w:eastAsia="Arial"/>
          <w:lang w:val="pt-BR"/>
        </w:rPr>
        <w:t>Acesso em: 21 de março de 2022.</w:t>
      </w:r>
    </w:p>
    <w:p w14:paraId="33DD0CC7" w14:textId="77777777" w:rsidR="00A31AA9" w:rsidRPr="00A31AA9" w:rsidRDefault="00A31AA9" w:rsidP="00152D03">
      <w:pPr>
        <w:spacing w:before="240"/>
        <w:jc w:val="both"/>
        <w:rPr>
          <w:rFonts w:eastAsia="Arial"/>
          <w:lang w:val="pt-BR"/>
        </w:rPr>
      </w:pPr>
      <w:r w:rsidRPr="00527ABE">
        <w:rPr>
          <w:rFonts w:eastAsia="Arial"/>
          <w:lang w:val="pt-BR"/>
        </w:rPr>
        <w:t xml:space="preserve">GIAGNOCAVO, C.; GALDEANO-GÓMEZ, E.; PÉREZ-MESA, J. </w:t>
      </w:r>
      <w:proofErr w:type="spellStart"/>
      <w:r w:rsidRPr="00527ABE">
        <w:rPr>
          <w:rFonts w:eastAsia="Arial"/>
          <w:lang w:val="pt-BR"/>
        </w:rPr>
        <w:t>Cooperative</w:t>
      </w:r>
      <w:proofErr w:type="spellEnd"/>
      <w:r w:rsidRPr="00527ABE">
        <w:rPr>
          <w:rFonts w:eastAsia="Arial"/>
          <w:lang w:val="pt-BR"/>
        </w:rPr>
        <w:t xml:space="preserve"> </w:t>
      </w:r>
      <w:proofErr w:type="spellStart"/>
      <w:r w:rsidRPr="00527ABE">
        <w:rPr>
          <w:rFonts w:eastAsia="Arial"/>
          <w:lang w:val="pt-BR"/>
        </w:rPr>
        <w:t>Longevity</w:t>
      </w:r>
      <w:proofErr w:type="spellEnd"/>
      <w:r w:rsidRPr="00527ABE">
        <w:rPr>
          <w:rFonts w:eastAsia="Arial"/>
          <w:lang w:val="pt-BR"/>
        </w:rPr>
        <w:t xml:space="preserve"> </w:t>
      </w:r>
      <w:proofErr w:type="spellStart"/>
      <w:r w:rsidRPr="00527ABE">
        <w:rPr>
          <w:rFonts w:eastAsia="Arial"/>
          <w:lang w:val="pt-BR"/>
        </w:rPr>
        <w:t>and</w:t>
      </w:r>
      <w:proofErr w:type="spellEnd"/>
      <w:r w:rsidRPr="00527ABE">
        <w:rPr>
          <w:rFonts w:eastAsia="Arial"/>
          <w:lang w:val="pt-BR"/>
        </w:rPr>
        <w:t xml:space="preserve"> </w:t>
      </w:r>
      <w:proofErr w:type="spellStart"/>
      <w:r w:rsidRPr="00527ABE">
        <w:rPr>
          <w:rFonts w:eastAsia="Arial"/>
          <w:lang w:val="pt-BR"/>
        </w:rPr>
        <w:t>Sustainable</w:t>
      </w:r>
      <w:proofErr w:type="spellEnd"/>
      <w:r w:rsidRPr="00527ABE">
        <w:rPr>
          <w:rFonts w:eastAsia="Arial"/>
          <w:lang w:val="pt-BR"/>
        </w:rPr>
        <w:t xml:space="preserve"> </w:t>
      </w:r>
      <w:proofErr w:type="spellStart"/>
      <w:r w:rsidRPr="00527ABE">
        <w:rPr>
          <w:rFonts w:eastAsia="Arial"/>
          <w:lang w:val="pt-BR"/>
        </w:rPr>
        <w:t>Development</w:t>
      </w:r>
      <w:proofErr w:type="spellEnd"/>
      <w:r w:rsidRPr="00527ABE">
        <w:rPr>
          <w:rFonts w:eastAsia="Arial"/>
          <w:lang w:val="pt-BR"/>
        </w:rPr>
        <w:t xml:space="preserve"> in a Family </w:t>
      </w:r>
      <w:proofErr w:type="spellStart"/>
      <w:r w:rsidRPr="00527ABE">
        <w:rPr>
          <w:rFonts w:eastAsia="Arial"/>
          <w:lang w:val="pt-BR"/>
        </w:rPr>
        <w:t>Farming</w:t>
      </w:r>
      <w:proofErr w:type="spellEnd"/>
      <w:r w:rsidRPr="00527ABE">
        <w:rPr>
          <w:rFonts w:eastAsia="Arial"/>
          <w:lang w:val="pt-BR"/>
        </w:rPr>
        <w:t xml:space="preserve"> System. </w:t>
      </w:r>
      <w:r w:rsidRPr="00551E56">
        <w:rPr>
          <w:rFonts w:eastAsia="Arial"/>
          <w:b/>
          <w:bCs/>
          <w:lang w:val="pt-BR"/>
        </w:rPr>
        <w:t>Sustainability</w:t>
      </w:r>
      <w:r w:rsidRPr="00551E56">
        <w:rPr>
          <w:rFonts w:eastAsia="Arial"/>
          <w:lang w:val="pt-BR"/>
        </w:rPr>
        <w:t>,</w:t>
      </w:r>
      <w:r w:rsidRPr="00A31AA9">
        <w:rPr>
          <w:rFonts w:eastAsia="Arial"/>
          <w:lang w:val="pt-BR"/>
        </w:rPr>
        <w:t xml:space="preserve"> v. 10, n. 7, p. 2198, 27 jun. 2018.</w:t>
      </w:r>
    </w:p>
    <w:p w14:paraId="423FF926" w14:textId="77777777" w:rsidR="00A31AA9" w:rsidRPr="00A31AA9" w:rsidRDefault="00A31AA9" w:rsidP="00152D03">
      <w:pPr>
        <w:spacing w:before="240"/>
        <w:jc w:val="both"/>
        <w:rPr>
          <w:rFonts w:eastAsia="Arial"/>
          <w:lang w:val="pt-BR"/>
        </w:rPr>
      </w:pPr>
      <w:r w:rsidRPr="00A31AA9">
        <w:rPr>
          <w:rFonts w:eastAsia="Arial"/>
          <w:lang w:val="pt-BR"/>
        </w:rPr>
        <w:t xml:space="preserve">GIL, A. C. </w:t>
      </w:r>
      <w:r w:rsidRPr="00551E56">
        <w:rPr>
          <w:rFonts w:eastAsia="Arial"/>
          <w:b/>
          <w:bCs/>
          <w:lang w:val="pt-BR"/>
        </w:rPr>
        <w:t>Como elaborar projetos de pesquisa</w:t>
      </w:r>
      <w:r w:rsidRPr="00A31AA9">
        <w:rPr>
          <w:rFonts w:eastAsia="Arial"/>
          <w:lang w:val="pt-BR"/>
        </w:rPr>
        <w:t>. 5º ed. São Paulo: Atlas,1991.</w:t>
      </w:r>
    </w:p>
    <w:p w14:paraId="2B45EBE4" w14:textId="77777777" w:rsidR="00A31AA9" w:rsidRPr="00A31AA9" w:rsidRDefault="00A31AA9" w:rsidP="00152D03">
      <w:pPr>
        <w:spacing w:before="240"/>
        <w:jc w:val="both"/>
        <w:rPr>
          <w:rFonts w:eastAsia="Arial"/>
          <w:lang w:val="pt-BR"/>
        </w:rPr>
      </w:pPr>
      <w:r w:rsidRPr="00A31AA9">
        <w:rPr>
          <w:rFonts w:eastAsia="Arial"/>
          <w:lang w:val="pt-BR"/>
        </w:rPr>
        <w:t xml:space="preserve">GRISA, C.; SCHNEIDER, S. Três gerações de políticas públicas para a agricultura familiar e formas de interação entre sociedade e estado no Brasil. </w:t>
      </w:r>
      <w:r w:rsidRPr="00551E56">
        <w:rPr>
          <w:rFonts w:eastAsia="Arial"/>
          <w:b/>
          <w:bCs/>
          <w:lang w:val="pt-BR"/>
        </w:rPr>
        <w:t>Revista de Economia e Sociologia Rural</w:t>
      </w:r>
      <w:r w:rsidRPr="00A31AA9">
        <w:rPr>
          <w:rFonts w:eastAsia="Arial"/>
          <w:lang w:val="pt-BR"/>
        </w:rPr>
        <w:t xml:space="preserve">, v. 52, n. </w:t>
      </w:r>
      <w:proofErr w:type="spellStart"/>
      <w:r w:rsidRPr="00A31AA9">
        <w:rPr>
          <w:rFonts w:eastAsia="Arial"/>
          <w:lang w:val="pt-BR"/>
        </w:rPr>
        <w:t>suppl</w:t>
      </w:r>
      <w:proofErr w:type="spellEnd"/>
      <w:r w:rsidRPr="00A31AA9">
        <w:rPr>
          <w:rFonts w:eastAsia="Arial"/>
          <w:lang w:val="pt-BR"/>
        </w:rPr>
        <w:t xml:space="preserve"> 1, p. 125–146, 2014.</w:t>
      </w:r>
    </w:p>
    <w:p w14:paraId="34774F70" w14:textId="77777777" w:rsidR="00A31AA9" w:rsidRPr="00A31AA9" w:rsidRDefault="00A31AA9" w:rsidP="00152D03">
      <w:pPr>
        <w:spacing w:before="240"/>
        <w:jc w:val="both"/>
        <w:rPr>
          <w:rFonts w:eastAsia="Arial"/>
          <w:lang w:val="pt-BR"/>
        </w:rPr>
      </w:pPr>
      <w:r w:rsidRPr="00A31AA9">
        <w:rPr>
          <w:rFonts w:eastAsia="Arial"/>
          <w:lang w:val="pt-BR"/>
        </w:rPr>
        <w:t xml:space="preserve">GUJARATI, D. N.; PORTER, D. C. </w:t>
      </w:r>
      <w:r w:rsidRPr="00551E56">
        <w:rPr>
          <w:rFonts w:eastAsia="Arial"/>
          <w:b/>
          <w:bCs/>
          <w:lang w:val="pt-BR"/>
        </w:rPr>
        <w:t>Econometria Básica</w:t>
      </w:r>
      <w:r w:rsidRPr="00A31AA9">
        <w:rPr>
          <w:rFonts w:eastAsia="Arial"/>
          <w:lang w:val="pt-BR"/>
        </w:rPr>
        <w:t xml:space="preserve">. 5. ed. São Paulo: AMGH Editora Ltda., 2011. </w:t>
      </w:r>
    </w:p>
    <w:p w14:paraId="602F4BB6" w14:textId="77777777" w:rsidR="00A31AA9" w:rsidRPr="00152D03" w:rsidRDefault="00A31AA9" w:rsidP="00152D03">
      <w:pPr>
        <w:spacing w:before="240"/>
        <w:jc w:val="both"/>
        <w:rPr>
          <w:rFonts w:eastAsia="Arial"/>
          <w:lang w:val="en-US"/>
        </w:rPr>
      </w:pPr>
      <w:r w:rsidRPr="00A31AA9">
        <w:rPr>
          <w:rFonts w:eastAsia="Arial"/>
          <w:lang w:val="pt-BR"/>
        </w:rPr>
        <w:t xml:space="preserve">HAIR, J. F; BLACK, W. C.; BABIN, B. J.; ANDERSON, R. E.; TATHAM, R. L. </w:t>
      </w:r>
      <w:r w:rsidRPr="00551E56">
        <w:rPr>
          <w:rFonts w:eastAsia="Arial"/>
          <w:b/>
          <w:bCs/>
          <w:lang w:val="pt-BR"/>
        </w:rPr>
        <w:t>Análise Multivariada de Dados</w:t>
      </w:r>
      <w:r w:rsidRPr="00A31AA9">
        <w:rPr>
          <w:rFonts w:eastAsia="Arial"/>
          <w:lang w:val="pt-BR"/>
        </w:rPr>
        <w:t xml:space="preserve">. </w:t>
      </w:r>
      <w:r w:rsidRPr="00152D03">
        <w:rPr>
          <w:rFonts w:eastAsia="Arial"/>
          <w:lang w:val="en-US"/>
        </w:rPr>
        <w:t>6 ed. Porto Alegre: BOOKMAN., 2009.</w:t>
      </w:r>
    </w:p>
    <w:p w14:paraId="11785EA9" w14:textId="77777777" w:rsidR="00A31AA9" w:rsidRPr="00152D03" w:rsidRDefault="00A31AA9" w:rsidP="00152D03">
      <w:pPr>
        <w:spacing w:before="240"/>
        <w:jc w:val="both"/>
        <w:rPr>
          <w:rFonts w:eastAsia="Arial"/>
          <w:lang w:val="en-US"/>
        </w:rPr>
      </w:pPr>
      <w:r w:rsidRPr="00152D03">
        <w:rPr>
          <w:rFonts w:eastAsia="Arial"/>
          <w:lang w:val="en-US"/>
        </w:rPr>
        <w:t xml:space="preserve">HOSMER, JR. D.; LEMESHOW, S.  </w:t>
      </w:r>
      <w:r w:rsidRPr="00551E56">
        <w:rPr>
          <w:rFonts w:eastAsia="Arial"/>
          <w:b/>
          <w:bCs/>
          <w:lang w:val="en-US"/>
        </w:rPr>
        <w:t>Applied Logistic Regression</w:t>
      </w:r>
      <w:r w:rsidRPr="00152D03">
        <w:rPr>
          <w:rFonts w:eastAsia="Arial"/>
          <w:lang w:val="en-US"/>
        </w:rPr>
        <w:t>. 3º ed. New York: John Wiley &amp; Sons, 2000.</w:t>
      </w:r>
    </w:p>
    <w:p w14:paraId="51D42F31" w14:textId="4F961294" w:rsidR="00A31AA9" w:rsidRPr="00A31AA9" w:rsidRDefault="00A31AA9" w:rsidP="00152D03">
      <w:pPr>
        <w:spacing w:before="240"/>
        <w:jc w:val="both"/>
        <w:rPr>
          <w:rFonts w:eastAsia="Arial"/>
          <w:lang w:val="pt-BR"/>
        </w:rPr>
      </w:pPr>
      <w:r w:rsidRPr="00A31AA9">
        <w:rPr>
          <w:rFonts w:eastAsia="Arial"/>
          <w:lang w:val="pt-BR"/>
        </w:rPr>
        <w:t xml:space="preserve">IBGE. INSTITUTO BRASILEIRO DE GEOGRAFIA E ESTATÍSTICA. 2017. </w:t>
      </w:r>
      <w:r w:rsidRPr="00551E56">
        <w:rPr>
          <w:rFonts w:eastAsia="Arial"/>
          <w:b/>
          <w:bCs/>
          <w:lang w:val="pt-BR"/>
        </w:rPr>
        <w:t>Censo Agropecuário</w:t>
      </w:r>
      <w:r w:rsidRPr="00A31AA9">
        <w:rPr>
          <w:rFonts w:eastAsia="Arial"/>
          <w:lang w:val="pt-BR"/>
        </w:rPr>
        <w:t xml:space="preserve">. Disponível em: </w:t>
      </w:r>
      <w:hyperlink r:id="rId15" w:history="1">
        <w:r w:rsidR="00551E56" w:rsidRPr="00935429">
          <w:rPr>
            <w:rStyle w:val="Hyperlink"/>
            <w:rFonts w:eastAsia="Arial"/>
            <w:lang w:val="pt-BR"/>
          </w:rPr>
          <w:t>https://sidra.ibge.gov.br</w:t>
        </w:r>
      </w:hyperlink>
      <w:r w:rsidR="00551E56">
        <w:rPr>
          <w:rFonts w:eastAsia="Arial"/>
          <w:lang w:val="pt-BR"/>
        </w:rPr>
        <w:t xml:space="preserve"> </w:t>
      </w:r>
      <w:r w:rsidRPr="00A31AA9">
        <w:rPr>
          <w:rFonts w:eastAsia="Arial"/>
          <w:lang w:val="pt-BR"/>
        </w:rPr>
        <w:t xml:space="preserve">. Acesso em: 11 fev. 2022. </w:t>
      </w:r>
    </w:p>
    <w:p w14:paraId="542354AC" w14:textId="77777777" w:rsidR="00A31AA9" w:rsidRPr="00A31AA9" w:rsidRDefault="00A31AA9" w:rsidP="00152D03">
      <w:pPr>
        <w:spacing w:before="240"/>
        <w:jc w:val="both"/>
        <w:rPr>
          <w:rFonts w:eastAsia="Arial"/>
          <w:lang w:val="pt-BR"/>
        </w:rPr>
      </w:pPr>
      <w:r w:rsidRPr="00A31AA9">
        <w:rPr>
          <w:rFonts w:eastAsia="Arial"/>
          <w:lang w:val="pt-BR"/>
        </w:rPr>
        <w:lastRenderedPageBreak/>
        <w:t xml:space="preserve">JUNQUEIRA, C. P.; LIMA, J. F. Políticas públicas para a agricultura familiar no Brasil. </w:t>
      </w:r>
      <w:r w:rsidRPr="00551E56">
        <w:rPr>
          <w:rFonts w:eastAsia="Arial"/>
          <w:b/>
          <w:bCs/>
          <w:lang w:val="pt-BR"/>
        </w:rPr>
        <w:t>Ciências Sociais e Humanas</w:t>
      </w:r>
      <w:r w:rsidRPr="00A31AA9">
        <w:rPr>
          <w:rFonts w:eastAsia="Arial"/>
          <w:lang w:val="pt-BR"/>
        </w:rPr>
        <w:t xml:space="preserve">, v. 29, p. 159–176, 2008. </w:t>
      </w:r>
    </w:p>
    <w:p w14:paraId="6A743D92" w14:textId="77777777" w:rsidR="00A31AA9" w:rsidRPr="00A31AA9" w:rsidRDefault="00A31AA9" w:rsidP="00152D03">
      <w:pPr>
        <w:spacing w:before="240"/>
        <w:jc w:val="both"/>
        <w:rPr>
          <w:rFonts w:eastAsia="Arial"/>
          <w:lang w:val="pt-BR"/>
        </w:rPr>
      </w:pPr>
      <w:r w:rsidRPr="00A31AA9">
        <w:rPr>
          <w:rFonts w:eastAsia="Arial"/>
          <w:lang w:val="pt-BR"/>
        </w:rPr>
        <w:t xml:space="preserve">MATTEI, L. </w:t>
      </w:r>
      <w:r w:rsidRPr="00551E56">
        <w:rPr>
          <w:rFonts w:eastAsia="Arial"/>
          <w:b/>
          <w:bCs/>
          <w:lang w:val="pt-BR"/>
        </w:rPr>
        <w:t>Impactos do Pronaf: análise de indicadores</w:t>
      </w:r>
      <w:r w:rsidRPr="00A31AA9">
        <w:rPr>
          <w:rFonts w:eastAsia="Arial"/>
          <w:lang w:val="pt-BR"/>
        </w:rPr>
        <w:t xml:space="preserve">. Brasília: Ministério do Desenvolvimento Agrário, Núcleo de Estudos Agrários e Desenvolvimento Rural, 2005. </w:t>
      </w:r>
    </w:p>
    <w:p w14:paraId="086B0A3F" w14:textId="3A8DB3E0" w:rsidR="00A31AA9" w:rsidRPr="00A31AA9" w:rsidRDefault="00A31AA9" w:rsidP="00152D03">
      <w:pPr>
        <w:spacing w:before="240"/>
        <w:jc w:val="both"/>
        <w:rPr>
          <w:rFonts w:eastAsia="Arial"/>
          <w:lang w:val="pt-BR"/>
        </w:rPr>
      </w:pPr>
      <w:r w:rsidRPr="00A31AA9">
        <w:rPr>
          <w:rFonts w:eastAsia="Arial"/>
          <w:lang w:val="pt-BR"/>
        </w:rPr>
        <w:t xml:space="preserve">MDA. MINISTÉRIO DO DESENVOLVIMENTO AGRÁRIO. </w:t>
      </w:r>
      <w:r w:rsidRPr="00551E56">
        <w:rPr>
          <w:rFonts w:eastAsia="Arial"/>
          <w:b/>
          <w:bCs/>
          <w:lang w:val="pt-BR"/>
        </w:rPr>
        <w:t xml:space="preserve">Extrato de DAP Pessoa </w:t>
      </w:r>
      <w:proofErr w:type="spellStart"/>
      <w:r w:rsidRPr="00551E56">
        <w:rPr>
          <w:rFonts w:eastAsia="Arial"/>
          <w:b/>
          <w:bCs/>
          <w:lang w:val="pt-BR"/>
        </w:rPr>
        <w:t>Juridica</w:t>
      </w:r>
      <w:proofErr w:type="spellEnd"/>
      <w:r w:rsidRPr="00551E56">
        <w:rPr>
          <w:rFonts w:eastAsia="Arial"/>
          <w:b/>
          <w:bCs/>
          <w:lang w:val="pt-BR"/>
        </w:rPr>
        <w:t xml:space="preserve"> 2017</w:t>
      </w:r>
      <w:r w:rsidRPr="00A31AA9">
        <w:rPr>
          <w:rFonts w:eastAsia="Arial"/>
          <w:lang w:val="pt-BR"/>
        </w:rPr>
        <w:t xml:space="preserve">. Disponível em: </w:t>
      </w:r>
      <w:hyperlink r:id="rId16" w:history="1">
        <w:r w:rsidR="00551E56" w:rsidRPr="00935429">
          <w:rPr>
            <w:rStyle w:val="Hyperlink"/>
            <w:rFonts w:eastAsia="Arial"/>
            <w:lang w:val="pt-BR"/>
          </w:rPr>
          <w:t>http://dados.mda.gov.br/dataset/dap-de-pessoa-juridica-3-2/resource/ef0ab4fd-b352-4565-b700-6e78a597e334</w:t>
        </w:r>
      </w:hyperlink>
      <w:r w:rsidR="00551E56">
        <w:rPr>
          <w:rFonts w:eastAsia="Arial"/>
          <w:lang w:val="pt-BR"/>
        </w:rPr>
        <w:t xml:space="preserve"> . </w:t>
      </w:r>
      <w:r w:rsidRPr="00A31AA9">
        <w:rPr>
          <w:rFonts w:eastAsia="Arial"/>
          <w:lang w:val="pt-BR"/>
        </w:rPr>
        <w:t xml:space="preserve">Acesso em 16 março 2022. </w:t>
      </w:r>
    </w:p>
    <w:p w14:paraId="0D74BE33" w14:textId="1DDF70D3" w:rsidR="00A31AA9" w:rsidRPr="00A31AA9" w:rsidRDefault="00A31AA9" w:rsidP="00152D03">
      <w:pPr>
        <w:spacing w:before="240"/>
        <w:jc w:val="both"/>
        <w:rPr>
          <w:rFonts w:eastAsia="Arial"/>
          <w:lang w:val="pt-BR"/>
        </w:rPr>
      </w:pPr>
      <w:r w:rsidRPr="00A31AA9">
        <w:rPr>
          <w:rFonts w:eastAsia="Arial"/>
          <w:lang w:val="pt-BR"/>
        </w:rPr>
        <w:t xml:space="preserve">MORAES, J. L. A.; SCHWAB, P. I. O Papel Do Cooperativismo </w:t>
      </w:r>
      <w:r w:rsidR="00551E56">
        <w:rPr>
          <w:rFonts w:eastAsia="Arial"/>
          <w:lang w:val="pt-BR"/>
        </w:rPr>
        <w:t>n</w:t>
      </w:r>
      <w:r w:rsidRPr="00A31AA9">
        <w:rPr>
          <w:rFonts w:eastAsia="Arial"/>
          <w:lang w:val="pt-BR"/>
        </w:rPr>
        <w:t xml:space="preserve">o Fortalecimento </w:t>
      </w:r>
      <w:r w:rsidR="00551E56">
        <w:rPr>
          <w:rFonts w:eastAsia="Arial"/>
          <w:lang w:val="pt-BR"/>
        </w:rPr>
        <w:t>d</w:t>
      </w:r>
      <w:r w:rsidRPr="00A31AA9">
        <w:rPr>
          <w:rFonts w:eastAsia="Arial"/>
          <w:lang w:val="pt-BR"/>
        </w:rPr>
        <w:t xml:space="preserve">a Agricultura Familiar. </w:t>
      </w:r>
      <w:r w:rsidRPr="00551E56">
        <w:rPr>
          <w:rFonts w:eastAsia="Arial"/>
          <w:b/>
          <w:bCs/>
          <w:lang w:val="pt-BR"/>
        </w:rPr>
        <w:t>Revista do CEPE</w:t>
      </w:r>
      <w:r w:rsidRPr="00A31AA9">
        <w:rPr>
          <w:rFonts w:eastAsia="Arial"/>
          <w:lang w:val="pt-BR"/>
        </w:rPr>
        <w:t xml:space="preserve">, n. 49, p. 67–79, 2019. </w:t>
      </w:r>
    </w:p>
    <w:p w14:paraId="52B15D8D" w14:textId="77777777" w:rsidR="00A31AA9" w:rsidRPr="00A31AA9" w:rsidRDefault="00A31AA9" w:rsidP="00152D03">
      <w:pPr>
        <w:spacing w:before="240"/>
        <w:jc w:val="both"/>
        <w:rPr>
          <w:rFonts w:eastAsia="Arial"/>
          <w:lang w:val="pt-BR"/>
        </w:rPr>
      </w:pPr>
      <w:r w:rsidRPr="00A31AA9">
        <w:rPr>
          <w:rFonts w:eastAsia="Arial"/>
          <w:lang w:val="pt-BR"/>
        </w:rPr>
        <w:t xml:space="preserve">OLIVEIRA, J. M.; CARVALHO, L. L.; GOSCH, M. S.; VALADARES, L. C. Progresso através do cooperativismo: experiência de agricultores familiares assentados no município de Morrinhos (GO). </w:t>
      </w:r>
      <w:r w:rsidRPr="00551E56">
        <w:rPr>
          <w:rFonts w:eastAsia="Arial"/>
          <w:b/>
          <w:bCs/>
          <w:lang w:val="pt-BR"/>
        </w:rPr>
        <w:t>Cadernos de Agroecologia</w:t>
      </w:r>
      <w:r w:rsidRPr="00A31AA9">
        <w:rPr>
          <w:rFonts w:eastAsia="Arial"/>
          <w:lang w:val="pt-BR"/>
        </w:rPr>
        <w:t xml:space="preserve">, v. 8, n. 2, 2013. </w:t>
      </w:r>
    </w:p>
    <w:p w14:paraId="795EDECF" w14:textId="194E25C3" w:rsidR="00A31AA9" w:rsidRPr="00A31AA9" w:rsidRDefault="00A31AA9" w:rsidP="00152D03">
      <w:pPr>
        <w:spacing w:before="240"/>
        <w:jc w:val="both"/>
        <w:rPr>
          <w:rFonts w:eastAsia="Arial"/>
          <w:lang w:val="pt-BR"/>
        </w:rPr>
      </w:pPr>
      <w:r w:rsidRPr="00A31AA9">
        <w:rPr>
          <w:rFonts w:eastAsia="Arial"/>
          <w:lang w:val="pt-BR"/>
        </w:rPr>
        <w:t xml:space="preserve">OCEMG. </w:t>
      </w:r>
      <w:r w:rsidRPr="00551E56">
        <w:rPr>
          <w:rFonts w:eastAsia="Arial"/>
          <w:b/>
          <w:bCs/>
          <w:lang w:val="pt-BR"/>
        </w:rPr>
        <w:t>Anuário 2021:</w:t>
      </w:r>
      <w:r w:rsidRPr="00A31AA9">
        <w:rPr>
          <w:rFonts w:eastAsia="Arial"/>
          <w:lang w:val="pt-BR"/>
        </w:rPr>
        <w:t xml:space="preserve"> informações econômicas e sociais do cooperativismo mineiro. 2021. Disponível em: </w:t>
      </w:r>
      <w:hyperlink r:id="rId17" w:history="1">
        <w:r w:rsidR="00551E56" w:rsidRPr="00935429">
          <w:rPr>
            <w:rStyle w:val="Hyperlink"/>
            <w:rFonts w:eastAsia="Arial"/>
            <w:lang w:val="pt-BR"/>
          </w:rPr>
          <w:t>https://sistemaocemg.coop.br/wp-content/uploads/2021/06/sistemaocemg.coop.br-publicacoes-final-anuario-de-informacoes-economicas-e-sociais-do-cooperativismo-mineiro-2021.pdf</w:t>
        </w:r>
      </w:hyperlink>
      <w:r w:rsidR="00551E56">
        <w:rPr>
          <w:rFonts w:eastAsia="Arial"/>
          <w:lang w:val="pt-BR"/>
        </w:rPr>
        <w:t xml:space="preserve"> </w:t>
      </w:r>
      <w:r w:rsidRPr="00A31AA9">
        <w:rPr>
          <w:rFonts w:eastAsia="Arial"/>
          <w:lang w:val="pt-BR"/>
        </w:rPr>
        <w:t xml:space="preserve">. Acesso em 16 de março de 2022. </w:t>
      </w:r>
    </w:p>
    <w:p w14:paraId="47969D51" w14:textId="77777777" w:rsidR="00A31AA9" w:rsidRPr="00A31AA9" w:rsidRDefault="00A31AA9" w:rsidP="00152D03">
      <w:pPr>
        <w:spacing w:before="240"/>
        <w:jc w:val="both"/>
        <w:rPr>
          <w:rFonts w:eastAsia="Arial"/>
          <w:lang w:val="pt-BR"/>
        </w:rPr>
      </w:pPr>
      <w:r w:rsidRPr="00A31AA9">
        <w:rPr>
          <w:rFonts w:eastAsia="Arial"/>
          <w:lang w:val="pt-BR"/>
        </w:rPr>
        <w:t xml:space="preserve">PICOLOTTO, E. L. Os Atores da Construção da Categoria Agricultura Familiar no Brasil. </w:t>
      </w:r>
      <w:r w:rsidRPr="00551E56">
        <w:rPr>
          <w:rFonts w:eastAsia="Arial"/>
          <w:b/>
          <w:bCs/>
          <w:lang w:val="pt-BR"/>
        </w:rPr>
        <w:t>Revista de Economia e Sociologia Rural</w:t>
      </w:r>
      <w:r w:rsidRPr="00A31AA9">
        <w:rPr>
          <w:rFonts w:eastAsia="Arial"/>
          <w:lang w:val="pt-BR"/>
        </w:rPr>
        <w:t xml:space="preserve">, v. 52, p. 63–84, 2014. </w:t>
      </w:r>
    </w:p>
    <w:p w14:paraId="781DF87A" w14:textId="77777777" w:rsidR="00A31AA9" w:rsidRPr="00152D03" w:rsidRDefault="00A31AA9" w:rsidP="00152D03">
      <w:pPr>
        <w:spacing w:before="240"/>
        <w:jc w:val="both"/>
        <w:rPr>
          <w:rFonts w:eastAsia="Arial"/>
          <w:lang w:val="en-US"/>
        </w:rPr>
      </w:pPr>
      <w:r w:rsidRPr="00A31AA9">
        <w:rPr>
          <w:rFonts w:eastAsia="Arial"/>
          <w:lang w:val="pt-BR"/>
        </w:rPr>
        <w:t xml:space="preserve">PEREIRA, G. M. C. L et al. </w:t>
      </w:r>
      <w:r w:rsidRPr="00152D03">
        <w:rPr>
          <w:rFonts w:eastAsia="Arial"/>
          <w:lang w:val="en-US"/>
        </w:rPr>
        <w:t xml:space="preserve">Family Farming Cooperatives: the Case of the Mixed Cooperative of Family Farmers of the Ipanema Valley. </w:t>
      </w:r>
      <w:r w:rsidRPr="00551E56">
        <w:rPr>
          <w:rFonts w:eastAsia="Arial"/>
          <w:b/>
          <w:bCs/>
          <w:lang w:val="en-US"/>
        </w:rPr>
        <w:t>International Journal of Scientific Research and Management</w:t>
      </w:r>
      <w:r w:rsidRPr="00152D03">
        <w:rPr>
          <w:rFonts w:eastAsia="Arial"/>
          <w:lang w:val="en-US"/>
        </w:rPr>
        <w:t xml:space="preserve">, v. 9, n. 11, p. 830–842, 14 </w:t>
      </w:r>
      <w:proofErr w:type="spellStart"/>
      <w:r w:rsidRPr="00152D03">
        <w:rPr>
          <w:rFonts w:eastAsia="Arial"/>
          <w:lang w:val="en-US"/>
        </w:rPr>
        <w:t>nov.</w:t>
      </w:r>
      <w:proofErr w:type="spellEnd"/>
      <w:r w:rsidRPr="00152D03">
        <w:rPr>
          <w:rFonts w:eastAsia="Arial"/>
          <w:lang w:val="en-US"/>
        </w:rPr>
        <w:t xml:space="preserve"> 2021.</w:t>
      </w:r>
    </w:p>
    <w:p w14:paraId="30D2482C" w14:textId="77777777" w:rsidR="00A31AA9" w:rsidRPr="00527ABE" w:rsidRDefault="00A31AA9" w:rsidP="00152D03">
      <w:pPr>
        <w:spacing w:before="240"/>
        <w:jc w:val="both"/>
        <w:rPr>
          <w:rFonts w:eastAsia="Arial"/>
          <w:lang w:val="en-US"/>
        </w:rPr>
      </w:pPr>
      <w:r w:rsidRPr="00A31AA9">
        <w:rPr>
          <w:rFonts w:eastAsia="Arial"/>
          <w:lang w:val="pt-BR"/>
        </w:rPr>
        <w:t xml:space="preserve">PIRES, M. L. L. E S. Extensão rural e cooperativismo: o que há de novo nessa relação? </w:t>
      </w:r>
      <w:r w:rsidRPr="00527ABE">
        <w:rPr>
          <w:rFonts w:eastAsia="Arial"/>
          <w:b/>
          <w:bCs/>
          <w:lang w:val="en-US"/>
        </w:rPr>
        <w:t xml:space="preserve">Jornadas Nacionales de </w:t>
      </w:r>
      <w:proofErr w:type="spellStart"/>
      <w:r w:rsidRPr="00527ABE">
        <w:rPr>
          <w:rFonts w:eastAsia="Arial"/>
          <w:b/>
          <w:bCs/>
          <w:lang w:val="en-US"/>
        </w:rPr>
        <w:t>Extensión</w:t>
      </w:r>
      <w:proofErr w:type="spellEnd"/>
      <w:r w:rsidRPr="00527ABE">
        <w:rPr>
          <w:rFonts w:eastAsia="Arial"/>
          <w:b/>
          <w:bCs/>
          <w:lang w:val="en-US"/>
        </w:rPr>
        <w:t xml:space="preserve"> Rural</w:t>
      </w:r>
      <w:r w:rsidRPr="00527ABE">
        <w:rPr>
          <w:rFonts w:eastAsia="Arial"/>
          <w:lang w:val="en-US"/>
        </w:rPr>
        <w:t xml:space="preserve">, v. 15, p. 6–8, 2010. </w:t>
      </w:r>
    </w:p>
    <w:p w14:paraId="0E279089" w14:textId="77777777" w:rsidR="00A31AA9" w:rsidRPr="00527ABE" w:rsidRDefault="00A31AA9" w:rsidP="00152D03">
      <w:pPr>
        <w:spacing w:before="240"/>
        <w:jc w:val="both"/>
        <w:rPr>
          <w:rFonts w:eastAsia="Arial"/>
          <w:lang w:val="pt-BR"/>
        </w:rPr>
      </w:pPr>
      <w:r w:rsidRPr="00527ABE">
        <w:rPr>
          <w:rFonts w:eastAsia="Arial"/>
          <w:lang w:val="en-US"/>
        </w:rPr>
        <w:t xml:space="preserve">RAWLINGS, J. O.; PANTULA, S. G.; DICKEY, D. A. </w:t>
      </w:r>
      <w:r w:rsidRPr="00527ABE">
        <w:rPr>
          <w:rFonts w:eastAsia="Arial"/>
          <w:b/>
          <w:bCs/>
          <w:lang w:val="en-US"/>
        </w:rPr>
        <w:t>Applied regression analysis:</w:t>
      </w:r>
      <w:r w:rsidRPr="00527ABE">
        <w:rPr>
          <w:rFonts w:eastAsia="Arial"/>
          <w:lang w:val="en-US"/>
        </w:rPr>
        <w:t xml:space="preserve"> a research tool. </w:t>
      </w:r>
      <w:r w:rsidRPr="00527ABE">
        <w:rPr>
          <w:rFonts w:eastAsia="Arial"/>
          <w:lang w:val="pt-BR"/>
        </w:rPr>
        <w:t xml:space="preserve">2. ed. New York: Springer, 1998. </w:t>
      </w:r>
    </w:p>
    <w:p w14:paraId="1EE0955D" w14:textId="77777777" w:rsidR="00A31AA9" w:rsidRPr="00A31AA9" w:rsidRDefault="00A31AA9" w:rsidP="00152D03">
      <w:pPr>
        <w:spacing w:before="240"/>
        <w:jc w:val="both"/>
        <w:rPr>
          <w:rFonts w:eastAsia="Arial"/>
          <w:lang w:val="pt-BR"/>
        </w:rPr>
      </w:pPr>
      <w:r w:rsidRPr="00527ABE">
        <w:rPr>
          <w:rFonts w:eastAsia="Arial"/>
          <w:lang w:val="pt-BR"/>
        </w:rPr>
        <w:t xml:space="preserve">RIOS, G. S. L.; CARVALHO, D. M. DE. </w:t>
      </w:r>
      <w:r w:rsidRPr="00A31AA9">
        <w:rPr>
          <w:rFonts w:eastAsia="Arial"/>
          <w:lang w:val="pt-BR"/>
        </w:rPr>
        <w:t xml:space="preserve">Associações de agricultores familiares como estruturas de ensaio </w:t>
      </w:r>
      <w:proofErr w:type="spellStart"/>
      <w:r w:rsidRPr="00A31AA9">
        <w:rPr>
          <w:rFonts w:eastAsia="Arial"/>
          <w:lang w:val="pt-BR"/>
        </w:rPr>
        <w:t>pré</w:t>
      </w:r>
      <w:proofErr w:type="spellEnd"/>
      <w:r w:rsidRPr="00A31AA9">
        <w:rPr>
          <w:rFonts w:eastAsia="Arial"/>
          <w:lang w:val="pt-BR"/>
        </w:rPr>
        <w:t xml:space="preserve">-cooperativas. </w:t>
      </w:r>
      <w:r w:rsidRPr="00551E56">
        <w:rPr>
          <w:rFonts w:eastAsia="Arial"/>
          <w:b/>
          <w:bCs/>
          <w:lang w:val="pt-BR"/>
        </w:rPr>
        <w:t>Economia Solidária e Ação Cooperativa- ESAC</w:t>
      </w:r>
      <w:r w:rsidRPr="00A31AA9">
        <w:rPr>
          <w:rFonts w:eastAsia="Arial"/>
          <w:lang w:val="pt-BR"/>
        </w:rPr>
        <w:t xml:space="preserve">, v. 2, n. 2, p. 129–136, 2007. </w:t>
      </w:r>
    </w:p>
    <w:p w14:paraId="28CED01A" w14:textId="77777777" w:rsidR="00A31AA9" w:rsidRPr="00A31AA9" w:rsidRDefault="00A31AA9" w:rsidP="00152D03">
      <w:pPr>
        <w:spacing w:before="240"/>
        <w:jc w:val="both"/>
        <w:rPr>
          <w:rFonts w:eastAsia="Arial"/>
          <w:lang w:val="pt-BR"/>
        </w:rPr>
      </w:pPr>
      <w:r w:rsidRPr="00A31AA9">
        <w:rPr>
          <w:rFonts w:eastAsia="Arial"/>
          <w:lang w:val="pt-BR"/>
        </w:rPr>
        <w:t xml:space="preserve">SANTOS, L. F. DOS; FERREIRA, M. A. M.; CAMPOS, A. P. T.  Barreiras de Desempenho e Políticas Públicas: Análise em Cooperativas de Agricultura Familiar. </w:t>
      </w:r>
      <w:r w:rsidRPr="00551E56">
        <w:rPr>
          <w:rFonts w:eastAsia="Arial"/>
          <w:b/>
          <w:bCs/>
          <w:lang w:val="pt-BR"/>
        </w:rPr>
        <w:t>Cadernos Gestão Pública e Cidadania</w:t>
      </w:r>
      <w:r w:rsidRPr="00A31AA9">
        <w:rPr>
          <w:rFonts w:eastAsia="Arial"/>
          <w:lang w:val="pt-BR"/>
        </w:rPr>
        <w:t xml:space="preserve">, v. 24, n. n.77, p. 1–21, 2019. </w:t>
      </w:r>
    </w:p>
    <w:p w14:paraId="21123B95" w14:textId="77777777" w:rsidR="00A31AA9" w:rsidRPr="00A31AA9" w:rsidRDefault="00A31AA9" w:rsidP="00152D03">
      <w:pPr>
        <w:spacing w:before="240"/>
        <w:jc w:val="both"/>
        <w:rPr>
          <w:rFonts w:eastAsia="Arial"/>
          <w:lang w:val="pt-BR"/>
        </w:rPr>
      </w:pPr>
      <w:r w:rsidRPr="00A31AA9">
        <w:rPr>
          <w:rFonts w:eastAsia="Arial"/>
          <w:lang w:val="pt-BR"/>
        </w:rPr>
        <w:t xml:space="preserve">SCHMITT, C. J. Aquisição de alimentos da agricultura familiar: integração entre política agrícola e segurança alimentar e nutricional. </w:t>
      </w:r>
      <w:r w:rsidRPr="00551E56">
        <w:rPr>
          <w:rFonts w:eastAsia="Arial"/>
          <w:b/>
          <w:bCs/>
          <w:lang w:val="pt-BR"/>
        </w:rPr>
        <w:t>Revista de Política Agrícola</w:t>
      </w:r>
      <w:r w:rsidRPr="00A31AA9">
        <w:rPr>
          <w:rFonts w:eastAsia="Arial"/>
          <w:lang w:val="pt-BR"/>
        </w:rPr>
        <w:t>, ano XIV, n.2, p.78-88, 2005.</w:t>
      </w:r>
    </w:p>
    <w:p w14:paraId="53847734" w14:textId="77777777" w:rsidR="00A31AA9" w:rsidRPr="00152D03" w:rsidRDefault="00A31AA9" w:rsidP="00152D03">
      <w:pPr>
        <w:spacing w:before="240"/>
        <w:jc w:val="both"/>
        <w:rPr>
          <w:rFonts w:eastAsia="Arial"/>
          <w:lang w:val="en-US"/>
        </w:rPr>
      </w:pPr>
      <w:r w:rsidRPr="00A31AA9">
        <w:rPr>
          <w:rFonts w:eastAsia="Arial"/>
          <w:lang w:val="pt-BR"/>
        </w:rPr>
        <w:lastRenderedPageBreak/>
        <w:t xml:space="preserve">SCHNEIDER, S.; CAZELLA, A. A.; MATTEI, L. F. Histórico, caracterização e dinâmica recente do PRONAF – Programa Nacional de Fortalecimento da Agricultura Familiar. </w:t>
      </w:r>
      <w:proofErr w:type="spellStart"/>
      <w:r w:rsidRPr="00551E56">
        <w:rPr>
          <w:rFonts w:eastAsia="Arial"/>
          <w:b/>
          <w:bCs/>
          <w:lang w:val="en-US"/>
        </w:rPr>
        <w:t>Revista</w:t>
      </w:r>
      <w:proofErr w:type="spellEnd"/>
      <w:r w:rsidRPr="00551E56">
        <w:rPr>
          <w:rFonts w:eastAsia="Arial"/>
          <w:b/>
          <w:bCs/>
          <w:lang w:val="en-US"/>
        </w:rPr>
        <w:t xml:space="preserve"> Grifos</w:t>
      </w:r>
      <w:r w:rsidRPr="00152D03">
        <w:rPr>
          <w:rFonts w:eastAsia="Arial"/>
          <w:lang w:val="en-US"/>
        </w:rPr>
        <w:t>, v. 30, n. 51, p. 12–41, 28 set. 2020.</w:t>
      </w:r>
    </w:p>
    <w:p w14:paraId="1BDDE8F3" w14:textId="77777777" w:rsidR="00A31AA9" w:rsidRPr="00A31AA9" w:rsidRDefault="00A31AA9" w:rsidP="00152D03">
      <w:pPr>
        <w:spacing w:before="240"/>
        <w:jc w:val="both"/>
        <w:rPr>
          <w:rFonts w:eastAsia="Arial"/>
          <w:lang w:val="pt-BR"/>
        </w:rPr>
      </w:pPr>
      <w:r w:rsidRPr="00152D03">
        <w:rPr>
          <w:rFonts w:eastAsia="Arial"/>
          <w:lang w:val="en-US"/>
        </w:rPr>
        <w:t xml:space="preserve">SENAVIRATNA, N. A. M. R.; COORAY, T. M. J. A. Diagnosing Multicollinearity of Logistic Regression Model. </w:t>
      </w:r>
      <w:proofErr w:type="spellStart"/>
      <w:r w:rsidRPr="00551E56">
        <w:rPr>
          <w:rFonts w:eastAsia="Arial"/>
          <w:b/>
          <w:bCs/>
          <w:lang w:val="pt-BR"/>
        </w:rPr>
        <w:t>Asian</w:t>
      </w:r>
      <w:proofErr w:type="spellEnd"/>
      <w:r w:rsidRPr="00551E56">
        <w:rPr>
          <w:rFonts w:eastAsia="Arial"/>
          <w:b/>
          <w:bCs/>
          <w:lang w:val="pt-BR"/>
        </w:rPr>
        <w:t xml:space="preserve"> </w:t>
      </w:r>
      <w:proofErr w:type="spellStart"/>
      <w:r w:rsidRPr="00551E56">
        <w:rPr>
          <w:rFonts w:eastAsia="Arial"/>
          <w:b/>
          <w:bCs/>
          <w:lang w:val="pt-BR"/>
        </w:rPr>
        <w:t>Journal</w:t>
      </w:r>
      <w:proofErr w:type="spellEnd"/>
      <w:r w:rsidRPr="00551E56">
        <w:rPr>
          <w:rFonts w:eastAsia="Arial"/>
          <w:b/>
          <w:bCs/>
          <w:lang w:val="pt-BR"/>
        </w:rPr>
        <w:t xml:space="preserve"> </w:t>
      </w:r>
      <w:proofErr w:type="spellStart"/>
      <w:r w:rsidRPr="00551E56">
        <w:rPr>
          <w:rFonts w:eastAsia="Arial"/>
          <w:b/>
          <w:bCs/>
          <w:lang w:val="pt-BR"/>
        </w:rPr>
        <w:t>of</w:t>
      </w:r>
      <w:proofErr w:type="spellEnd"/>
      <w:r w:rsidRPr="00551E56">
        <w:rPr>
          <w:rFonts w:eastAsia="Arial"/>
          <w:b/>
          <w:bCs/>
          <w:lang w:val="pt-BR"/>
        </w:rPr>
        <w:t xml:space="preserve"> </w:t>
      </w:r>
      <w:proofErr w:type="spellStart"/>
      <w:r w:rsidRPr="00551E56">
        <w:rPr>
          <w:rFonts w:eastAsia="Arial"/>
          <w:b/>
          <w:bCs/>
          <w:lang w:val="pt-BR"/>
        </w:rPr>
        <w:t>Probability</w:t>
      </w:r>
      <w:proofErr w:type="spellEnd"/>
      <w:r w:rsidRPr="00551E56">
        <w:rPr>
          <w:rFonts w:eastAsia="Arial"/>
          <w:b/>
          <w:bCs/>
          <w:lang w:val="pt-BR"/>
        </w:rPr>
        <w:t xml:space="preserve"> </w:t>
      </w:r>
      <w:proofErr w:type="spellStart"/>
      <w:r w:rsidRPr="00551E56">
        <w:rPr>
          <w:rFonts w:eastAsia="Arial"/>
          <w:b/>
          <w:bCs/>
          <w:lang w:val="pt-BR"/>
        </w:rPr>
        <w:t>and</w:t>
      </w:r>
      <w:proofErr w:type="spellEnd"/>
      <w:r w:rsidRPr="00551E56">
        <w:rPr>
          <w:rFonts w:eastAsia="Arial"/>
          <w:b/>
          <w:bCs/>
          <w:lang w:val="pt-BR"/>
        </w:rPr>
        <w:t xml:space="preserve"> </w:t>
      </w:r>
      <w:proofErr w:type="spellStart"/>
      <w:r w:rsidRPr="00551E56">
        <w:rPr>
          <w:rFonts w:eastAsia="Arial"/>
          <w:b/>
          <w:bCs/>
          <w:lang w:val="pt-BR"/>
        </w:rPr>
        <w:t>Statistics</w:t>
      </w:r>
      <w:proofErr w:type="spellEnd"/>
      <w:r w:rsidRPr="00A31AA9">
        <w:rPr>
          <w:rFonts w:eastAsia="Arial"/>
          <w:lang w:val="pt-BR"/>
        </w:rPr>
        <w:t xml:space="preserve">, v. 5, n. 2, p. 1–9, 2019. </w:t>
      </w:r>
    </w:p>
    <w:p w14:paraId="2B3E6AB3" w14:textId="77777777" w:rsidR="00A31AA9" w:rsidRPr="00A31AA9" w:rsidRDefault="00A31AA9" w:rsidP="00152D03">
      <w:pPr>
        <w:spacing w:before="240"/>
        <w:jc w:val="both"/>
        <w:rPr>
          <w:rFonts w:eastAsia="Arial"/>
          <w:lang w:val="pt-BR"/>
        </w:rPr>
      </w:pPr>
      <w:r w:rsidRPr="00A31AA9">
        <w:rPr>
          <w:rFonts w:eastAsia="Arial"/>
          <w:lang w:val="pt-BR"/>
        </w:rPr>
        <w:t xml:space="preserve">TROIAN, A.; BREINTENBACH, R. O Programa Nacional de Alimentação Escolar em Santana do Livramento (RS): Desafios para a Adequação à Lei dos 30%. </w:t>
      </w:r>
      <w:r w:rsidRPr="00551E56">
        <w:rPr>
          <w:rFonts w:eastAsia="Arial"/>
          <w:b/>
          <w:bCs/>
          <w:lang w:val="pt-BR"/>
        </w:rPr>
        <w:t>Redes</w:t>
      </w:r>
      <w:r w:rsidRPr="00A31AA9">
        <w:rPr>
          <w:rFonts w:eastAsia="Arial"/>
          <w:lang w:val="pt-BR"/>
        </w:rPr>
        <w:t>, v. 25, n. 2, p. 570–589, 25 maio 2020.</w:t>
      </w:r>
    </w:p>
    <w:p w14:paraId="14902641" w14:textId="77777777" w:rsidR="00A31AA9" w:rsidRPr="00A31AA9" w:rsidRDefault="00A31AA9" w:rsidP="00152D03">
      <w:pPr>
        <w:spacing w:before="240"/>
        <w:jc w:val="both"/>
        <w:rPr>
          <w:rFonts w:eastAsia="Arial"/>
          <w:lang w:val="pt-BR"/>
        </w:rPr>
      </w:pPr>
      <w:r w:rsidRPr="00A31AA9">
        <w:rPr>
          <w:rFonts w:eastAsia="Arial"/>
          <w:lang w:val="pt-BR"/>
        </w:rPr>
        <w:t>VILLAR, B.S.; SCHWARTZMAN, Flavia; JANUARIO, L.B.; RAMOS, F.J. Situação dos municípios do estado de São Paulo com relação à compra direta de produtos da agricultura familiar para o Programa Nacional de Alimentação Escolar (PNAE</w:t>
      </w:r>
      <w:r w:rsidRPr="00551E56">
        <w:rPr>
          <w:rFonts w:eastAsia="Arial"/>
          <w:b/>
          <w:bCs/>
          <w:lang w:val="pt-BR"/>
        </w:rPr>
        <w:t>). Revista brasileira de epidemiologia</w:t>
      </w:r>
      <w:r w:rsidRPr="00A31AA9">
        <w:rPr>
          <w:rFonts w:eastAsia="Arial"/>
          <w:lang w:val="pt-BR"/>
        </w:rPr>
        <w:t>. São Paulo, v.16, n.1, p. 223-226, março, 2013.</w:t>
      </w:r>
    </w:p>
    <w:p w14:paraId="79183B31" w14:textId="77777777" w:rsidR="00A31AA9" w:rsidRPr="00A31AA9" w:rsidRDefault="00A31AA9" w:rsidP="00152D03">
      <w:pPr>
        <w:spacing w:before="240"/>
        <w:jc w:val="both"/>
        <w:rPr>
          <w:rFonts w:eastAsia="Arial"/>
          <w:lang w:val="pt-BR"/>
        </w:rPr>
      </w:pPr>
      <w:r w:rsidRPr="00152D03">
        <w:rPr>
          <w:rFonts w:eastAsia="Arial"/>
          <w:lang w:val="en-US"/>
        </w:rPr>
        <w:t xml:space="preserve">YANBYKH, R.; SARAIKIN, V.; LERMAN, Z. Cooperative tradition in Russia: a revival of agricultural service cooperatives? </w:t>
      </w:r>
      <w:r w:rsidRPr="00551E56">
        <w:rPr>
          <w:rFonts w:eastAsia="Arial"/>
          <w:b/>
          <w:bCs/>
          <w:lang w:val="pt-BR"/>
        </w:rPr>
        <w:t>Post-</w:t>
      </w:r>
      <w:proofErr w:type="spellStart"/>
      <w:r w:rsidRPr="00551E56">
        <w:rPr>
          <w:rFonts w:eastAsia="Arial"/>
          <w:b/>
          <w:bCs/>
          <w:lang w:val="pt-BR"/>
        </w:rPr>
        <w:t>Communist</w:t>
      </w:r>
      <w:proofErr w:type="spellEnd"/>
      <w:r w:rsidRPr="00551E56">
        <w:rPr>
          <w:rFonts w:eastAsia="Arial"/>
          <w:b/>
          <w:bCs/>
          <w:lang w:val="pt-BR"/>
        </w:rPr>
        <w:t xml:space="preserve"> </w:t>
      </w:r>
      <w:proofErr w:type="spellStart"/>
      <w:r w:rsidRPr="00551E56">
        <w:rPr>
          <w:rFonts w:eastAsia="Arial"/>
          <w:b/>
          <w:bCs/>
          <w:lang w:val="pt-BR"/>
        </w:rPr>
        <w:t>Economies</w:t>
      </w:r>
      <w:proofErr w:type="spellEnd"/>
      <w:r w:rsidRPr="00A31AA9">
        <w:rPr>
          <w:rFonts w:eastAsia="Arial"/>
          <w:lang w:val="pt-BR"/>
        </w:rPr>
        <w:t>, v. 31, n. 6, p. 750–771, 2 nov. 2019.</w:t>
      </w:r>
    </w:p>
    <w:p w14:paraId="1CE0AFD9" w14:textId="6F4D8EC4" w:rsidR="00D62EC4" w:rsidRPr="00190020" w:rsidRDefault="00A31AA9" w:rsidP="00152D03">
      <w:pPr>
        <w:spacing w:before="240"/>
        <w:jc w:val="both"/>
        <w:rPr>
          <w:lang w:val="pt-BR"/>
        </w:rPr>
      </w:pPr>
      <w:r w:rsidRPr="00A31AA9">
        <w:rPr>
          <w:rFonts w:eastAsia="Arial"/>
          <w:lang w:val="pt-BR"/>
        </w:rPr>
        <w:t xml:space="preserve">ZENARO, M.; SCHIOCHET, V.; GELINSKI, E. J. Cooperativismo como alternativa de fortalecimento da agricultura familiar: a cooperativa de pequenos agricultores de Videira e </w:t>
      </w:r>
      <w:proofErr w:type="spellStart"/>
      <w:r w:rsidRPr="00A31AA9">
        <w:rPr>
          <w:rFonts w:eastAsia="Arial"/>
          <w:lang w:val="pt-BR"/>
        </w:rPr>
        <w:t>Iomerê</w:t>
      </w:r>
      <w:proofErr w:type="spellEnd"/>
      <w:r w:rsidRPr="00A31AA9">
        <w:rPr>
          <w:rFonts w:eastAsia="Arial"/>
          <w:lang w:val="pt-BR"/>
        </w:rPr>
        <w:t xml:space="preserve"> (</w:t>
      </w:r>
      <w:proofErr w:type="spellStart"/>
      <w:r w:rsidRPr="00A31AA9">
        <w:rPr>
          <w:rFonts w:eastAsia="Arial"/>
          <w:lang w:val="pt-BR"/>
        </w:rPr>
        <w:t>Copavidi</w:t>
      </w:r>
      <w:proofErr w:type="spellEnd"/>
      <w:r w:rsidRPr="00A31AA9">
        <w:rPr>
          <w:rFonts w:eastAsia="Arial"/>
          <w:lang w:val="pt-BR"/>
        </w:rPr>
        <w:t xml:space="preserve">). </w:t>
      </w:r>
      <w:r w:rsidRPr="00551E56">
        <w:rPr>
          <w:rFonts w:eastAsia="Arial"/>
          <w:b/>
          <w:bCs/>
          <w:lang w:val="pt-BR"/>
        </w:rPr>
        <w:t>Unoesc &amp; Ciência</w:t>
      </w:r>
      <w:r w:rsidRPr="00A31AA9">
        <w:rPr>
          <w:rFonts w:eastAsia="Arial"/>
          <w:lang w:val="pt-BR"/>
        </w:rPr>
        <w:t xml:space="preserve"> - ACSA Joaçaba, v. 8, n. 1, p. 33–40, 2017</w:t>
      </w:r>
      <w:r w:rsidR="00AF2807">
        <w:rPr>
          <w:rFonts w:eastAsia="Arial"/>
          <w:lang w:val="pt-BR"/>
        </w:rPr>
        <w:t>.</w:t>
      </w:r>
    </w:p>
    <w:sectPr w:rsidR="00D62EC4" w:rsidRPr="00190020" w:rsidSect="006542F7">
      <w:headerReference w:type="even" r:id="rId18"/>
      <w:headerReference w:type="default" r:id="rId19"/>
      <w:footerReference w:type="even" r:id="rId20"/>
      <w:footerReference w:type="default" r:id="rId21"/>
      <w:headerReference w:type="first" r:id="rId22"/>
      <w:footerReference w:type="first" r:id="rId23"/>
      <w:pgSz w:w="11907" w:h="16840" w:code="9"/>
      <w:pgMar w:top="1701" w:right="1134" w:bottom="1134" w:left="1701" w:header="851" w:footer="1109" w:gutter="0"/>
      <w:pgNumType w:start="1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26D18" w14:textId="77777777" w:rsidR="002A7720" w:rsidRDefault="002A7720">
      <w:r>
        <w:separator/>
      </w:r>
    </w:p>
  </w:endnote>
  <w:endnote w:type="continuationSeparator" w:id="0">
    <w:p w14:paraId="5215BBEC" w14:textId="77777777" w:rsidR="002A7720" w:rsidRDefault="002A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 verdana, arial">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Nimbus Sans L">
    <w:altName w:val="Yu Gothic"/>
    <w:charset w:val="80"/>
    <w:family w:val="swiss"/>
    <w:pitch w:val="variable"/>
  </w:font>
  <w:font w:name="DejaVu Sans">
    <w:charset w:val="00"/>
    <w:family w:val="swiss"/>
    <w:pitch w:val="variable"/>
    <w:sig w:usb0="E7001EFF" w:usb1="5200FDFF" w:usb2="00042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MSS12">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AgencyFB-Re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7A59" w14:textId="77777777" w:rsidR="003A352A" w:rsidRDefault="003A352A">
    <w:pPr>
      <w:pStyle w:val="Footer"/>
      <w:framePr w:wrap="around" w:vAnchor="text" w:hAnchor="margin" w:xAlign="right" w:y="1"/>
      <w:rPr>
        <w:rStyle w:val="PageNumber"/>
      </w:rPr>
    </w:pPr>
  </w:p>
  <w:p w14:paraId="5316AF5A" w14:textId="6EAF151E" w:rsidR="003A352A" w:rsidRPr="00522268" w:rsidRDefault="003A352A" w:rsidP="00A76BFA">
    <w:pPr>
      <w:pStyle w:val="Footer"/>
      <w:jc w:val="center"/>
      <w:rPr>
        <w:szCs w:val="23"/>
        <w:lang w:val="pt-BR"/>
      </w:rPr>
    </w:pPr>
    <w:r w:rsidRPr="00461A5B">
      <w:rPr>
        <w:rFonts w:ascii="Agency FB" w:hAnsi="Agency FB" w:cs="AgencyFB-Reg"/>
        <w:sz w:val="23"/>
        <w:szCs w:val="23"/>
        <w:lang w:val="pt-BR"/>
      </w:rPr>
      <w:t xml:space="preserve">REUNA, Belo Horizonte - MG, Brasil, </w:t>
    </w:r>
    <w:r w:rsidR="006542F7">
      <w:rPr>
        <w:rFonts w:ascii="Agency FB" w:hAnsi="Agency FB" w:cs="AgencyFB-Reg"/>
        <w:sz w:val="23"/>
        <w:szCs w:val="23"/>
        <w:lang w:val="pt-BR"/>
      </w:rPr>
      <w:t>v.28, n.3, p. 19 - 39</w:t>
    </w:r>
    <w:r w:rsidR="006542F7" w:rsidRPr="00EB537C">
      <w:rPr>
        <w:rFonts w:ascii="Agency FB" w:hAnsi="Agency FB" w:cs="AgencyFB-Reg"/>
        <w:sz w:val="23"/>
        <w:szCs w:val="23"/>
        <w:lang w:val="pt-BR"/>
      </w:rPr>
      <w:t>.</w:t>
    </w:r>
    <w:r w:rsidRPr="00461A5B">
      <w:rPr>
        <w:rFonts w:ascii="Agency FB" w:hAnsi="Agency FB" w:cs="AgencyFB-Reg"/>
        <w:sz w:val="23"/>
        <w:szCs w:val="23"/>
        <w:lang w:val="pt-BR"/>
      </w:rPr>
      <w:t xml:space="preserve"> 202</w:t>
    </w:r>
    <w:r w:rsidR="0067372A">
      <w:rPr>
        <w:rFonts w:ascii="Agency FB" w:hAnsi="Agency FB" w:cs="AgencyFB-Reg"/>
        <w:sz w:val="23"/>
        <w:szCs w:val="23"/>
        <w:lang w:val="pt-BR"/>
      </w:rPr>
      <w:t>3</w:t>
    </w:r>
    <w:r w:rsidRPr="00461A5B">
      <w:rPr>
        <w:rFonts w:ascii="Agency FB" w:hAnsi="Agency FB" w:cs="AgencyFB-Reg"/>
        <w:sz w:val="23"/>
        <w:szCs w:val="23"/>
        <w:lang w:val="pt-BR"/>
      </w:rPr>
      <w:t xml:space="preserve"> - ISSN 2179-8834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693B" w14:textId="6044DA3C" w:rsidR="003A352A" w:rsidRPr="00765023" w:rsidRDefault="003A352A" w:rsidP="00765023">
    <w:pPr>
      <w:pStyle w:val="Footer"/>
      <w:jc w:val="center"/>
      <w:rPr>
        <w:szCs w:val="23"/>
        <w:lang w:val="pt-BR"/>
      </w:rPr>
    </w:pPr>
    <w:r w:rsidRPr="00EB537C">
      <w:rPr>
        <w:rFonts w:ascii="Agency FB" w:hAnsi="Agency FB" w:cs="AgencyFB-Reg"/>
        <w:sz w:val="23"/>
        <w:szCs w:val="23"/>
        <w:lang w:val="pt-BR"/>
      </w:rPr>
      <w:t xml:space="preserve">REUNA, Belo Horizonte - MG, Brasil, </w:t>
    </w:r>
    <w:r w:rsidR="006542F7">
      <w:rPr>
        <w:rFonts w:ascii="Agency FB" w:hAnsi="Agency FB" w:cs="AgencyFB-Reg"/>
        <w:sz w:val="23"/>
        <w:szCs w:val="23"/>
        <w:lang w:val="pt-BR"/>
      </w:rPr>
      <w:t>v.28, n.3, p. 19 - 39</w:t>
    </w:r>
    <w:r w:rsidR="006542F7" w:rsidRPr="00EB537C">
      <w:rPr>
        <w:rFonts w:ascii="Agency FB" w:hAnsi="Agency FB" w:cs="AgencyFB-Reg"/>
        <w:sz w:val="23"/>
        <w:szCs w:val="23"/>
        <w:lang w:val="pt-BR"/>
      </w:rPr>
      <w:t>.</w:t>
    </w:r>
    <w:r w:rsidRPr="00461A5B">
      <w:rPr>
        <w:rFonts w:ascii="Agency FB" w:hAnsi="Agency FB" w:cs="AgencyFB-Reg"/>
        <w:sz w:val="23"/>
        <w:szCs w:val="23"/>
        <w:lang w:val="pt-BR"/>
      </w:rPr>
      <w:t xml:space="preserve"> 202</w:t>
    </w:r>
    <w:r w:rsidR="0067372A">
      <w:rPr>
        <w:rFonts w:ascii="Agency FB" w:hAnsi="Agency FB" w:cs="AgencyFB-Reg"/>
        <w:sz w:val="23"/>
        <w:szCs w:val="23"/>
        <w:lang w:val="pt-BR"/>
      </w:rPr>
      <w:t>3</w:t>
    </w:r>
    <w:r>
      <w:rPr>
        <w:rFonts w:ascii="Agency FB" w:hAnsi="Agency FB" w:cs="AgencyFB-Reg"/>
        <w:sz w:val="23"/>
        <w:szCs w:val="23"/>
        <w:lang w:val="pt-BR"/>
      </w:rPr>
      <w:t xml:space="preserve"> </w:t>
    </w:r>
    <w:r w:rsidRPr="00EB537C">
      <w:rPr>
        <w:rFonts w:ascii="Agency FB" w:hAnsi="Agency FB" w:cs="AgencyFB-Reg"/>
        <w:sz w:val="23"/>
        <w:szCs w:val="23"/>
        <w:lang w:val="pt-BR"/>
      </w:rPr>
      <w:t>- ISSN 2179-8834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3B67" w14:textId="77C09258" w:rsidR="003A352A" w:rsidRPr="00522268" w:rsidRDefault="003A352A" w:rsidP="00ED4DB9">
    <w:pPr>
      <w:pStyle w:val="Footer"/>
      <w:spacing w:before="120"/>
      <w:jc w:val="center"/>
      <w:rPr>
        <w:szCs w:val="23"/>
        <w:lang w:val="pt-BR"/>
      </w:rPr>
    </w:pPr>
    <w:r w:rsidRPr="00EB537C">
      <w:rPr>
        <w:rFonts w:ascii="Agency FB" w:hAnsi="Agency FB" w:cs="AgencyFB-Reg"/>
        <w:sz w:val="23"/>
        <w:szCs w:val="23"/>
        <w:lang w:val="pt-BR"/>
      </w:rPr>
      <w:t xml:space="preserve">REUNA, Belo Horizonte - MG, Brasil, </w:t>
    </w:r>
    <w:r w:rsidR="006542F7">
      <w:rPr>
        <w:rFonts w:ascii="Agency FB" w:hAnsi="Agency FB" w:cs="AgencyFB-Reg"/>
        <w:sz w:val="23"/>
        <w:szCs w:val="23"/>
        <w:lang w:val="pt-BR"/>
      </w:rPr>
      <w:t xml:space="preserve">v.28, n.3, p. </w:t>
    </w:r>
    <w:r w:rsidR="006542F7">
      <w:rPr>
        <w:rFonts w:ascii="Agency FB" w:hAnsi="Agency FB" w:cs="AgencyFB-Reg"/>
        <w:sz w:val="23"/>
        <w:szCs w:val="23"/>
        <w:lang w:val="pt-BR"/>
      </w:rPr>
      <w:t>19 - 39</w:t>
    </w:r>
    <w:r w:rsidRPr="00EB537C">
      <w:rPr>
        <w:rFonts w:ascii="Agency FB" w:hAnsi="Agency FB" w:cs="AgencyFB-Reg"/>
        <w:sz w:val="23"/>
        <w:szCs w:val="23"/>
        <w:lang w:val="pt-BR"/>
      </w:rPr>
      <w:t>. 202</w:t>
    </w:r>
    <w:r w:rsidR="0067372A">
      <w:rPr>
        <w:rFonts w:ascii="Agency FB" w:hAnsi="Agency FB" w:cs="AgencyFB-Reg"/>
        <w:sz w:val="23"/>
        <w:szCs w:val="23"/>
        <w:lang w:val="pt-BR"/>
      </w:rPr>
      <w:t>3</w:t>
    </w:r>
    <w:r w:rsidRPr="00EB537C">
      <w:rPr>
        <w:rFonts w:ascii="Agency FB" w:hAnsi="Agency FB" w:cs="AgencyFB-Reg"/>
        <w:sz w:val="23"/>
        <w:szCs w:val="23"/>
        <w:lang w:val="pt-BR"/>
      </w:rPr>
      <w:t xml:space="preserve"> - ISSN 2179-8834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74C14" w14:textId="77777777" w:rsidR="002A7720" w:rsidRDefault="002A7720">
      <w:r>
        <w:separator/>
      </w:r>
    </w:p>
  </w:footnote>
  <w:footnote w:type="continuationSeparator" w:id="0">
    <w:p w14:paraId="4B055422" w14:textId="77777777" w:rsidR="002A7720" w:rsidRDefault="002A7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FBBC" w14:textId="77777777" w:rsidR="003A352A" w:rsidRDefault="003A352A">
    <w:r>
      <w:rPr>
        <w:noProof/>
        <w:lang w:val="pt-BR"/>
      </w:rPr>
      <mc:AlternateContent>
        <mc:Choice Requires="wps">
          <w:drawing>
            <wp:anchor distT="0" distB="0" distL="114300" distR="114300" simplePos="0" relativeHeight="251664384" behindDoc="0" locked="0" layoutInCell="0" allowOverlap="1" wp14:anchorId="2735D0F6" wp14:editId="569E2CFB">
              <wp:simplePos x="0" y="0"/>
              <wp:positionH relativeFrom="margin">
                <wp:align>left</wp:align>
              </wp:positionH>
              <wp:positionV relativeFrom="topMargin">
                <wp:align>center</wp:align>
              </wp:positionV>
              <wp:extent cx="5760720" cy="172720"/>
              <wp:effectExtent l="0" t="0" r="0" b="6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D04A8" w14:textId="77777777" w:rsidR="00A31AA9" w:rsidRPr="00A31AA9" w:rsidRDefault="00A31AA9" w:rsidP="00A31AA9">
                          <w:pPr>
                            <w:jc w:val="center"/>
                            <w:rPr>
                              <w:rFonts w:ascii="Agency FB" w:hAnsi="Agency FB" w:cs="Arial"/>
                              <w:sz w:val="23"/>
                              <w:szCs w:val="23"/>
                              <w:lang w:val="pt-BR"/>
                            </w:rPr>
                          </w:pPr>
                        </w:p>
                        <w:p w14:paraId="3134032A" w14:textId="11B87E52" w:rsidR="003A352A" w:rsidRPr="003F77A3" w:rsidRDefault="00A31AA9" w:rsidP="00A31AA9">
                          <w:pPr>
                            <w:jc w:val="center"/>
                            <w:rPr>
                              <w:rFonts w:ascii="Agency FB" w:hAnsi="Agency FB" w:cs="Arial"/>
                              <w:caps/>
                              <w:sz w:val="23"/>
                              <w:szCs w:val="23"/>
                              <w:lang w:val="pt-BR"/>
                            </w:rPr>
                          </w:pPr>
                          <w:r w:rsidRPr="00A31AA9">
                            <w:rPr>
                              <w:rFonts w:ascii="Agency FB" w:hAnsi="Agency FB" w:cs="Arial"/>
                              <w:sz w:val="23"/>
                              <w:szCs w:val="23"/>
                              <w:lang w:val="pt-BR"/>
                            </w:rPr>
                            <w:t>DETERMINANTES DO ACESSO ÀS POLÍTICAS PÚBLICAS QUE INFLUENCIAM NA ORGANIZAÇÃO DE AGRICULTORES FAMILIARES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735D0F6" id="_x0000_t202" coordsize="21600,21600" o:spt="202" path="m,l,21600r21600,l21600,xe">
              <v:stroke joinstyle="miter"/>
              <v:path gradientshapeok="t" o:connecttype="rect"/>
            </v:shapetype>
            <v:shape id="Text Box 6" o:spid="_x0000_s1026" type="#_x0000_t202" style="position:absolute;margin-left:0;margin-top:0;width:453.6pt;height:13.6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" o:allowincell="f" filled="f" stroked="f">
              <v:textbox style="mso-fit-shape-to-text:t" inset=",0,,0">
                <w:txbxContent>
                  <w:p w14:paraId="5C4D04A8" w14:textId="77777777" w:rsidR="00A31AA9" w:rsidRPr="00A31AA9" w:rsidRDefault="00A31AA9" w:rsidP="00A31AA9">
                    <w:pPr>
                      <w:jc w:val="center"/>
                      <w:rPr>
                        <w:rFonts w:ascii="Agency FB" w:hAnsi="Agency FB" w:cs="Arial"/>
                        <w:sz w:val="23"/>
                        <w:szCs w:val="23"/>
                        <w:lang w:val="pt-BR"/>
                      </w:rPr>
                    </w:pPr>
                  </w:p>
                  <w:p w14:paraId="3134032A" w14:textId="11B87E52" w:rsidR="003A352A" w:rsidRPr="003F77A3" w:rsidRDefault="00A31AA9" w:rsidP="00A31AA9">
                    <w:pPr>
                      <w:jc w:val="center"/>
                      <w:rPr>
                        <w:rFonts w:ascii="Agency FB" w:hAnsi="Agency FB" w:cs="Arial"/>
                        <w:caps/>
                        <w:sz w:val="23"/>
                        <w:szCs w:val="23"/>
                        <w:lang w:val="pt-BR"/>
                      </w:rPr>
                    </w:pPr>
                    <w:r w:rsidRPr="00A31AA9">
                      <w:rPr>
                        <w:rFonts w:ascii="Agency FB" w:hAnsi="Agency FB" w:cs="Arial"/>
                        <w:sz w:val="23"/>
                        <w:szCs w:val="23"/>
                        <w:lang w:val="pt-BR"/>
                      </w:rPr>
                      <w:t>DETERMINANTES DO ACESSO ÀS POLÍTICAS PÚBLICAS QUE INFLUENCIAM NA ORGANIZAÇÃO DE AGRICULTORES FAMILIARES</w:t>
                    </w:r>
                  </w:p>
                </w:txbxContent>
              </v:textbox>
              <w10:wrap anchorx="margin" anchory="margin"/>
            </v:shape>
          </w:pict>
        </mc:Fallback>
      </mc:AlternateContent>
    </w:r>
    <w:r>
      <w:rPr>
        <w:noProof/>
        <w:lang w:val="pt-BR"/>
      </w:rPr>
      <mc:AlternateContent>
        <mc:Choice Requires="wps">
          <w:drawing>
            <wp:anchor distT="0" distB="0" distL="114300" distR="114300" simplePos="0" relativeHeight="251663360" behindDoc="0" locked="0" layoutInCell="0" allowOverlap="1" wp14:anchorId="0D307B31" wp14:editId="17F2D0C2">
              <wp:simplePos x="0" y="0"/>
              <wp:positionH relativeFrom="page">
                <wp:align>right</wp:align>
              </wp:positionH>
              <wp:positionV relativeFrom="topMargin">
                <wp:align>center</wp:align>
              </wp:positionV>
              <wp:extent cx="718185" cy="175260"/>
              <wp:effectExtent l="1905"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17526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E0FF8" w14:textId="77777777" w:rsidR="003A352A" w:rsidRDefault="003A352A">
                          <w:pPr>
                            <w:rPr>
                              <w:color w:val="FFFFFF" w:themeColor="background1"/>
                              <w:lang w:val="pt-BR"/>
                            </w:rPr>
                          </w:pPr>
                          <w:r>
                            <w:rPr>
                              <w:lang w:val="pt-BR"/>
                            </w:rPr>
                            <w:fldChar w:fldCharType="begin"/>
                          </w:r>
                          <w:r>
                            <w:rPr>
                              <w:lang w:val="pt-BR"/>
                            </w:rPr>
                            <w:instrText xml:space="preserve"> PAGE   \* MERGEFORMAT </w:instrText>
                          </w:r>
                          <w:r>
                            <w:rPr>
                              <w:lang w:val="pt-BR"/>
                            </w:rPr>
                            <w:fldChar w:fldCharType="separate"/>
                          </w:r>
                          <w:r w:rsidRPr="001817FC">
                            <w:rPr>
                              <w:noProof/>
                              <w:color w:val="FFFFFF" w:themeColor="background1"/>
                            </w:rPr>
                            <w:t>18</w:t>
                          </w:r>
                          <w:r>
                            <w:rPr>
                              <w:lang w:val="pt-BR"/>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D307B31" id="Text Box 5" o:spid="_x0000_s1027" type="#_x0000_t202" style="position:absolute;margin-left:5.35pt;margin-top:0;width:56.55pt;height:13.8pt;z-index:25166336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" o:allowincell="f" fillcolor="#4f81bd [3204]" stroked="f">
              <v:textbox style="mso-fit-shape-to-text:t" inset=",0,,0">
                <w:txbxContent>
                  <w:p w14:paraId="091E0FF8" w14:textId="77777777" w:rsidR="003A352A" w:rsidRDefault="003A352A">
                    <w:pPr>
                      <w:rPr>
                        <w:color w:val="FFFFFF" w:themeColor="background1"/>
                        <w:lang w:val="pt-BR"/>
                      </w:rPr>
                    </w:pPr>
                    <w:r>
                      <w:rPr>
                        <w:lang w:val="pt-BR"/>
                      </w:rPr>
                      <w:fldChar w:fldCharType="begin"/>
                    </w:r>
                    <w:r>
                      <w:rPr>
                        <w:lang w:val="pt-BR"/>
                      </w:rPr>
                      <w:instrText xml:space="preserve"> PAGE   \* MERGEFORMAT </w:instrText>
                    </w:r>
                    <w:r>
                      <w:rPr>
                        <w:lang w:val="pt-BR"/>
                      </w:rPr>
                      <w:fldChar w:fldCharType="separate"/>
                    </w:r>
                    <w:r w:rsidRPr="001817FC">
                      <w:rPr>
                        <w:noProof/>
                        <w:color w:val="FFFFFF" w:themeColor="background1"/>
                      </w:rPr>
                      <w:t>18</w:t>
                    </w:r>
                    <w:r>
                      <w:rPr>
                        <w:lang w:val="pt-BR"/>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A648" w14:textId="77777777" w:rsidR="003A352A" w:rsidRPr="00AA59C8" w:rsidRDefault="003A352A" w:rsidP="005D6014">
    <w:pPr>
      <w:pStyle w:val="Header"/>
      <w:jc w:val="left"/>
      <w:rPr>
        <w:rStyle w:val="Strong"/>
        <w:b w:val="0"/>
        <w:bCs w:val="0"/>
      </w:rPr>
    </w:pPr>
    <w:r>
      <w:rPr>
        <w:rStyle w:val="Strong"/>
        <w:b w:val="0"/>
        <w:bCs w:val="0"/>
        <w:noProof/>
        <w:lang w:val="pt-BR"/>
      </w:rPr>
      <mc:AlternateContent>
        <mc:Choice Requires="wps">
          <w:drawing>
            <wp:anchor distT="0" distB="0" distL="114300" distR="114300" simplePos="0" relativeHeight="251667456" behindDoc="0" locked="0" layoutInCell="0" allowOverlap="1" wp14:anchorId="593F60AA" wp14:editId="5984F094">
              <wp:simplePos x="0" y="0"/>
              <wp:positionH relativeFrom="margin">
                <wp:align>left</wp:align>
              </wp:positionH>
              <wp:positionV relativeFrom="topMargin">
                <wp:align>center</wp:align>
              </wp:positionV>
              <wp:extent cx="5760720" cy="172720"/>
              <wp:effectExtent l="0" t="0" r="0" b="6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2DFCA" w14:textId="01192CEF" w:rsidR="003A352A" w:rsidRPr="0063382E" w:rsidRDefault="00A31AA9" w:rsidP="00D62EC4">
                          <w:pPr>
                            <w:rPr>
                              <w:rFonts w:ascii="Agency FB" w:hAnsi="Agency FB" w:cs="Arial"/>
                              <w:sz w:val="23"/>
                              <w:szCs w:val="23"/>
                              <w:shd w:val="clear" w:color="auto" w:fill="FBFBF3"/>
                              <w:lang w:val="pt-BR"/>
                            </w:rPr>
                          </w:pPr>
                          <w:r>
                            <w:rPr>
                              <w:rFonts w:ascii="Agency FB" w:hAnsi="Agency FB" w:cs="Arial"/>
                              <w:sz w:val="23"/>
                              <w:szCs w:val="23"/>
                              <w:shd w:val="clear" w:color="auto" w:fill="FBFBF3"/>
                              <w:lang w:val="pt-BR"/>
                            </w:rPr>
                            <w:t>Ana Carolina Dias Pereira</w:t>
                          </w:r>
                          <w:r w:rsidR="00EA3203">
                            <w:rPr>
                              <w:rFonts w:ascii="Agency FB" w:hAnsi="Agency FB" w:cs="Arial"/>
                              <w:sz w:val="23"/>
                              <w:szCs w:val="23"/>
                              <w:shd w:val="clear" w:color="auto" w:fill="FBFBF3"/>
                              <w:lang w:val="pt-BR"/>
                            </w:rPr>
                            <w:t>;</w:t>
                          </w:r>
                          <w:r>
                            <w:rPr>
                              <w:rFonts w:ascii="Agency FB" w:hAnsi="Agency FB" w:cs="Arial"/>
                              <w:sz w:val="23"/>
                              <w:szCs w:val="23"/>
                              <w:shd w:val="clear" w:color="auto" w:fill="FBFBF3"/>
                              <w:lang w:val="pt-BR"/>
                            </w:rPr>
                            <w:t xml:space="preserve"> Layon Carlos Cezar</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93F60AA" id="_x0000_t202" coordsize="21600,21600" o:spt="202" path="m,l,21600r21600,l21600,xe">
              <v:stroke joinstyle="miter"/>
              <v:path gradientshapeok="t" o:connecttype="rect"/>
            </v:shapetype>
            <v:shape id="Text Box 8" o:spid="_x0000_s1028" type="#_x0000_t202" style="position:absolute;margin-left:0;margin-top:0;width:453.6pt;height:13.6pt;z-index:25166745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" o:allowincell="f" filled="f" stroked="f">
              <v:textbox style="mso-fit-shape-to-text:t" inset=",0,,0">
                <w:txbxContent>
                  <w:p w14:paraId="70C2DFCA" w14:textId="01192CEF" w:rsidR="003A352A" w:rsidRPr="0063382E" w:rsidRDefault="00A31AA9" w:rsidP="00D62EC4">
                    <w:pPr>
                      <w:rPr>
                        <w:rFonts w:ascii="Agency FB" w:hAnsi="Agency FB" w:cs="Arial"/>
                        <w:sz w:val="23"/>
                        <w:szCs w:val="23"/>
                        <w:shd w:val="clear" w:color="auto" w:fill="FBFBF3"/>
                        <w:lang w:val="pt-BR"/>
                      </w:rPr>
                    </w:pPr>
                    <w:r>
                      <w:rPr>
                        <w:rFonts w:ascii="Agency FB" w:hAnsi="Agency FB" w:cs="Arial"/>
                        <w:sz w:val="23"/>
                        <w:szCs w:val="23"/>
                        <w:shd w:val="clear" w:color="auto" w:fill="FBFBF3"/>
                        <w:lang w:val="pt-BR"/>
                      </w:rPr>
                      <w:t>Ana Carolina Dias Pereira</w:t>
                    </w:r>
                    <w:r w:rsidR="00EA3203">
                      <w:rPr>
                        <w:rFonts w:ascii="Agency FB" w:hAnsi="Agency FB" w:cs="Arial"/>
                        <w:sz w:val="23"/>
                        <w:szCs w:val="23"/>
                        <w:shd w:val="clear" w:color="auto" w:fill="FBFBF3"/>
                        <w:lang w:val="pt-BR"/>
                      </w:rPr>
                      <w:t>;</w:t>
                    </w:r>
                    <w:r>
                      <w:rPr>
                        <w:rFonts w:ascii="Agency FB" w:hAnsi="Agency FB" w:cs="Arial"/>
                        <w:sz w:val="23"/>
                        <w:szCs w:val="23"/>
                        <w:shd w:val="clear" w:color="auto" w:fill="FBFBF3"/>
                        <w:lang w:val="pt-BR"/>
                      </w:rPr>
                      <w:t xml:space="preserve"> Layon Carlos Cezar</w:t>
                    </w:r>
                  </w:p>
                </w:txbxContent>
              </v:textbox>
              <w10:wrap anchorx="margin" anchory="margin"/>
            </v:shape>
          </w:pict>
        </mc:Fallback>
      </mc:AlternateContent>
    </w:r>
    <w:r>
      <w:rPr>
        <w:rStyle w:val="Strong"/>
        <w:b w:val="0"/>
        <w:bCs w:val="0"/>
        <w:noProof/>
        <w:lang w:val="pt-BR"/>
      </w:rPr>
      <mc:AlternateContent>
        <mc:Choice Requires="wps">
          <w:drawing>
            <wp:anchor distT="0" distB="0" distL="114300" distR="114300" simplePos="0" relativeHeight="251666432" behindDoc="0" locked="0" layoutInCell="0" allowOverlap="1" wp14:anchorId="296553D2" wp14:editId="2F4D565D">
              <wp:simplePos x="0" y="0"/>
              <wp:positionH relativeFrom="page">
                <wp:align>left</wp:align>
              </wp:positionH>
              <wp:positionV relativeFrom="topMargin">
                <wp:align>center</wp:align>
              </wp:positionV>
              <wp:extent cx="1080135" cy="175260"/>
              <wp:effectExtent l="0" t="0" r="571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526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67546" w14:textId="77777777" w:rsidR="003A352A" w:rsidRDefault="003A352A">
                          <w:pPr>
                            <w:jc w:val="right"/>
                            <w:rPr>
                              <w:color w:val="FFFFFF" w:themeColor="background1"/>
                              <w:lang w:val="pt-BR"/>
                            </w:rPr>
                          </w:pPr>
                          <w:r>
                            <w:rPr>
                              <w:lang w:val="pt-BR"/>
                            </w:rPr>
                            <w:fldChar w:fldCharType="begin"/>
                          </w:r>
                          <w:r>
                            <w:rPr>
                              <w:lang w:val="pt-BR"/>
                            </w:rPr>
                            <w:instrText xml:space="preserve"> PAGE   \* MERGEFORMAT </w:instrText>
                          </w:r>
                          <w:r>
                            <w:rPr>
                              <w:lang w:val="pt-BR"/>
                            </w:rPr>
                            <w:fldChar w:fldCharType="separate"/>
                          </w:r>
                          <w:r w:rsidRPr="001817FC">
                            <w:rPr>
                              <w:noProof/>
                              <w:color w:val="FFFFFF" w:themeColor="background1"/>
                            </w:rPr>
                            <w:t>19</w:t>
                          </w:r>
                          <w:r>
                            <w:rPr>
                              <w:lang w:val="pt-BR"/>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96553D2" id="Text Box 7" o:spid="_x0000_s1029" type="#_x0000_t202" style="position:absolute;margin-left:0;margin-top:0;width:85.05pt;height:13.8pt;z-index:25166643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" o:allowincell="f" fillcolor="#4f81bd [3204]" stroked="f">
              <v:textbox style="mso-fit-shape-to-text:t" inset=",0,,0">
                <w:txbxContent>
                  <w:p w14:paraId="2EA67546" w14:textId="77777777" w:rsidR="003A352A" w:rsidRDefault="003A352A">
                    <w:pPr>
                      <w:jc w:val="right"/>
                      <w:rPr>
                        <w:color w:val="FFFFFF" w:themeColor="background1"/>
                        <w:lang w:val="pt-BR"/>
                      </w:rPr>
                    </w:pPr>
                    <w:r>
                      <w:rPr>
                        <w:lang w:val="pt-BR"/>
                      </w:rPr>
                      <w:fldChar w:fldCharType="begin"/>
                    </w:r>
                    <w:r>
                      <w:rPr>
                        <w:lang w:val="pt-BR"/>
                      </w:rPr>
                      <w:instrText xml:space="preserve"> PAGE   \* MERGEFORMAT </w:instrText>
                    </w:r>
                    <w:r>
                      <w:rPr>
                        <w:lang w:val="pt-BR"/>
                      </w:rPr>
                      <w:fldChar w:fldCharType="separate"/>
                    </w:r>
                    <w:r w:rsidRPr="001817FC">
                      <w:rPr>
                        <w:noProof/>
                        <w:color w:val="FFFFFF" w:themeColor="background1"/>
                      </w:rPr>
                      <w:t>19</w:t>
                    </w:r>
                    <w:r>
                      <w:rPr>
                        <w:lang w:val="pt-BR"/>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0B63" w14:textId="77777777" w:rsidR="003A352A" w:rsidRDefault="003A352A" w:rsidP="00D24FF3">
    <w:pPr>
      <w:pStyle w:val="Header"/>
      <w:jc w:val="center"/>
    </w:pPr>
    <w:r>
      <w:rPr>
        <w:noProof/>
        <w:lang w:val="pt-BR"/>
      </w:rPr>
      <w:drawing>
        <wp:inline distT="0" distB="0" distL="0" distR="0" wp14:anchorId="44F6F4AB" wp14:editId="51151784">
          <wp:extent cx="1529141" cy="576000"/>
          <wp:effectExtent l="19050" t="0" r="0" b="0"/>
          <wp:docPr id="1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29141" cy="576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C207A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19B0FE7A"/>
    <w:lvl w:ilvl="0">
      <w:start w:val="1"/>
      <w:numFmt w:val="lowerLetter"/>
      <w:lvlText w:val="%1)"/>
      <w:lvlJc w:val="left"/>
      <w:pPr>
        <w:tabs>
          <w:tab w:val="num" w:pos="360"/>
        </w:tabs>
        <w:ind w:left="360" w:hanging="360"/>
      </w:pPr>
    </w:lvl>
  </w:abstractNum>
  <w:abstractNum w:abstractNumId="2" w15:restartNumberingAfterBreak="0">
    <w:nsid w:val="FFFFFF89"/>
    <w:multiLevelType w:val="singleLevel"/>
    <w:tmpl w:val="D3FC28F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6A2BC3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027B52E3"/>
    <w:multiLevelType w:val="hybridMultilevel"/>
    <w:tmpl w:val="41105510"/>
    <w:lvl w:ilvl="0" w:tplc="F88C9854">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59C6E26"/>
    <w:multiLevelType w:val="hybridMultilevel"/>
    <w:tmpl w:val="AEF2F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AB2DC8"/>
    <w:multiLevelType w:val="hybridMultilevel"/>
    <w:tmpl w:val="158875A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7A625D8"/>
    <w:multiLevelType w:val="hybridMultilevel"/>
    <w:tmpl w:val="2D1858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8DA408B"/>
    <w:multiLevelType w:val="hybridMultilevel"/>
    <w:tmpl w:val="C638FA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1D4D70"/>
    <w:multiLevelType w:val="hybridMultilevel"/>
    <w:tmpl w:val="2DE29D0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E9E070A"/>
    <w:multiLevelType w:val="hybridMultilevel"/>
    <w:tmpl w:val="7006313A"/>
    <w:lvl w:ilvl="0" w:tplc="D4B22D66">
      <w:start w:val="1"/>
      <w:numFmt w:val="bullet"/>
      <w:pStyle w:val="Lis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C30117"/>
    <w:multiLevelType w:val="hybridMultilevel"/>
    <w:tmpl w:val="D61471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38516EC"/>
    <w:multiLevelType w:val="hybridMultilevel"/>
    <w:tmpl w:val="288ABF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191055"/>
    <w:multiLevelType w:val="hybridMultilevel"/>
    <w:tmpl w:val="5B9040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854E5C"/>
    <w:multiLevelType w:val="hybridMultilevel"/>
    <w:tmpl w:val="CE0A0E0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18940EEA"/>
    <w:multiLevelType w:val="hybridMultilevel"/>
    <w:tmpl w:val="9794999C"/>
    <w:lvl w:ilvl="0" w:tplc="580A000F">
      <w:start w:val="1"/>
      <w:numFmt w:val="decimal"/>
      <w:lvlText w:val="%1."/>
      <w:lvlJc w:val="left"/>
      <w:pPr>
        <w:ind w:left="1080" w:hanging="360"/>
      </w:p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6" w15:restartNumberingAfterBreak="0">
    <w:nsid w:val="19AB7A7D"/>
    <w:multiLevelType w:val="hybridMultilevel"/>
    <w:tmpl w:val="9D5C59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457288"/>
    <w:multiLevelType w:val="hybridMultilevel"/>
    <w:tmpl w:val="C1D0DF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29356C"/>
    <w:multiLevelType w:val="hybridMultilevel"/>
    <w:tmpl w:val="3CA6F7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B317501"/>
    <w:multiLevelType w:val="multilevel"/>
    <w:tmpl w:val="F2368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CEA1CAA"/>
    <w:multiLevelType w:val="multilevel"/>
    <w:tmpl w:val="027CB7B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63C40BC"/>
    <w:multiLevelType w:val="hybridMultilevel"/>
    <w:tmpl w:val="36D27D60"/>
    <w:lvl w:ilvl="0" w:tplc="0416000F">
      <w:start w:val="1"/>
      <w:numFmt w:val="decimal"/>
      <w:lvlText w:val="%1."/>
      <w:lvlJc w:val="left"/>
      <w:pPr>
        <w:ind w:left="1434" w:hanging="360"/>
      </w:pPr>
      <w:rPr>
        <w:rFonts w:hint="default"/>
      </w:r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22" w15:restartNumberingAfterBreak="0">
    <w:nsid w:val="4FB77279"/>
    <w:multiLevelType w:val="hybridMultilevel"/>
    <w:tmpl w:val="C262A7E2"/>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15:restartNumberingAfterBreak="0">
    <w:nsid w:val="523A30F6"/>
    <w:multiLevelType w:val="hybridMultilevel"/>
    <w:tmpl w:val="F21A94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891B14"/>
    <w:multiLevelType w:val="hybridMultilevel"/>
    <w:tmpl w:val="829C1DA4"/>
    <w:lvl w:ilvl="0" w:tplc="7C46FF3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8981681"/>
    <w:multiLevelType w:val="hybridMultilevel"/>
    <w:tmpl w:val="BD366024"/>
    <w:lvl w:ilvl="0" w:tplc="A4E2227A">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FD42E8"/>
    <w:multiLevelType w:val="multilevel"/>
    <w:tmpl w:val="692C408A"/>
    <w:lvl w:ilvl="0">
      <w:start w:val="1"/>
      <w:numFmt w:val="decimal"/>
      <w:lvlText w:val="%1."/>
      <w:lvlJc w:val="right"/>
      <w:pPr>
        <w:ind w:left="720" w:hanging="360"/>
      </w:pPr>
      <w:rPr>
        <w:rFonts w:hint="default"/>
        <w:b/>
      </w:rPr>
    </w:lvl>
    <w:lvl w:ilvl="1">
      <w:start w:val="1"/>
      <w:numFmt w:val="decimal"/>
      <w:isLgl/>
      <w:lvlText w:val="%1.%2"/>
      <w:lvlJc w:val="left"/>
      <w:pPr>
        <w:ind w:left="720" w:hanging="360"/>
      </w:pPr>
      <w:rPr>
        <w:rFonts w:hint="default"/>
        <w:b/>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440" w:hanging="1080"/>
      </w:pPr>
      <w:rPr>
        <w:rFonts w:hint="default"/>
        <w:b/>
        <w:color w:val="000000" w:themeColor="text1"/>
      </w:rPr>
    </w:lvl>
    <w:lvl w:ilvl="6">
      <w:start w:val="1"/>
      <w:numFmt w:val="decimal"/>
      <w:isLgl/>
      <w:lvlText w:val="%1.%2.%3.%4.%5.%6.%7"/>
      <w:lvlJc w:val="left"/>
      <w:pPr>
        <w:ind w:left="1800" w:hanging="1440"/>
      </w:pPr>
      <w:rPr>
        <w:rFonts w:hint="default"/>
        <w:b/>
        <w:color w:val="000000" w:themeColor="text1"/>
      </w:rPr>
    </w:lvl>
    <w:lvl w:ilvl="7">
      <w:start w:val="1"/>
      <w:numFmt w:val="decimal"/>
      <w:isLgl/>
      <w:lvlText w:val="%1.%2.%3.%4.%5.%6.%7.%8"/>
      <w:lvlJc w:val="left"/>
      <w:pPr>
        <w:ind w:left="1800" w:hanging="1440"/>
      </w:pPr>
      <w:rPr>
        <w:rFonts w:hint="default"/>
        <w:b/>
        <w:color w:val="000000" w:themeColor="text1"/>
      </w:rPr>
    </w:lvl>
    <w:lvl w:ilvl="8">
      <w:start w:val="1"/>
      <w:numFmt w:val="decimal"/>
      <w:isLgl/>
      <w:lvlText w:val="%1.%2.%3.%4.%5.%6.%7.%8.%9"/>
      <w:lvlJc w:val="left"/>
      <w:pPr>
        <w:ind w:left="2160" w:hanging="1800"/>
      </w:pPr>
      <w:rPr>
        <w:rFonts w:hint="default"/>
        <w:b/>
        <w:color w:val="000000" w:themeColor="text1"/>
      </w:rPr>
    </w:lvl>
  </w:abstractNum>
  <w:abstractNum w:abstractNumId="27" w15:restartNumberingAfterBreak="0">
    <w:nsid w:val="660E7E63"/>
    <w:multiLevelType w:val="hybridMultilevel"/>
    <w:tmpl w:val="D952A7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8FF497F"/>
    <w:multiLevelType w:val="hybridMultilevel"/>
    <w:tmpl w:val="991A252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0F7F69"/>
    <w:multiLevelType w:val="hybridMultilevel"/>
    <w:tmpl w:val="B5EA59DA"/>
    <w:lvl w:ilvl="0" w:tplc="85126EF8">
      <w:numFmt w:val="bullet"/>
      <w:lvlText w:val="•"/>
      <w:lvlJc w:val="left"/>
      <w:pPr>
        <w:ind w:left="720" w:hanging="360"/>
      </w:pPr>
      <w:rPr>
        <w:rFonts w:ascii="Times New Roman" w:eastAsia="Calibr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A870C67"/>
    <w:multiLevelType w:val="multilevel"/>
    <w:tmpl w:val="692C408A"/>
    <w:lvl w:ilvl="0">
      <w:start w:val="1"/>
      <w:numFmt w:val="decimal"/>
      <w:lvlText w:val="%1."/>
      <w:lvlJc w:val="right"/>
      <w:pPr>
        <w:ind w:left="720" w:hanging="360"/>
      </w:pPr>
      <w:rPr>
        <w:rFonts w:hint="default"/>
        <w:b/>
      </w:rPr>
    </w:lvl>
    <w:lvl w:ilvl="1">
      <w:start w:val="1"/>
      <w:numFmt w:val="decimal"/>
      <w:isLgl/>
      <w:lvlText w:val="%1.%2"/>
      <w:lvlJc w:val="left"/>
      <w:pPr>
        <w:ind w:left="720" w:hanging="360"/>
      </w:pPr>
      <w:rPr>
        <w:rFonts w:hint="default"/>
        <w:b/>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440" w:hanging="1080"/>
      </w:pPr>
      <w:rPr>
        <w:rFonts w:hint="default"/>
        <w:b/>
        <w:color w:val="000000" w:themeColor="text1"/>
      </w:rPr>
    </w:lvl>
    <w:lvl w:ilvl="6">
      <w:start w:val="1"/>
      <w:numFmt w:val="decimal"/>
      <w:isLgl/>
      <w:lvlText w:val="%1.%2.%3.%4.%5.%6.%7"/>
      <w:lvlJc w:val="left"/>
      <w:pPr>
        <w:ind w:left="1800" w:hanging="1440"/>
      </w:pPr>
      <w:rPr>
        <w:rFonts w:hint="default"/>
        <w:b/>
        <w:color w:val="000000" w:themeColor="text1"/>
      </w:rPr>
    </w:lvl>
    <w:lvl w:ilvl="7">
      <w:start w:val="1"/>
      <w:numFmt w:val="decimal"/>
      <w:isLgl/>
      <w:lvlText w:val="%1.%2.%3.%4.%5.%6.%7.%8"/>
      <w:lvlJc w:val="left"/>
      <w:pPr>
        <w:ind w:left="1800" w:hanging="1440"/>
      </w:pPr>
      <w:rPr>
        <w:rFonts w:hint="default"/>
        <w:b/>
        <w:color w:val="000000" w:themeColor="text1"/>
      </w:rPr>
    </w:lvl>
    <w:lvl w:ilvl="8">
      <w:start w:val="1"/>
      <w:numFmt w:val="decimal"/>
      <w:isLgl/>
      <w:lvlText w:val="%1.%2.%3.%4.%5.%6.%7.%8.%9"/>
      <w:lvlJc w:val="left"/>
      <w:pPr>
        <w:ind w:left="2160" w:hanging="1800"/>
      </w:pPr>
      <w:rPr>
        <w:rFonts w:hint="default"/>
        <w:b/>
        <w:color w:val="000000" w:themeColor="text1"/>
      </w:rPr>
    </w:lvl>
  </w:abstractNum>
  <w:abstractNum w:abstractNumId="31" w15:restartNumberingAfterBreak="0">
    <w:nsid w:val="751D26DF"/>
    <w:multiLevelType w:val="multilevel"/>
    <w:tmpl w:val="CBB8E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EE7D98"/>
    <w:multiLevelType w:val="hybridMultilevel"/>
    <w:tmpl w:val="D5129AEA"/>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545102"/>
    <w:multiLevelType w:val="hybridMultilevel"/>
    <w:tmpl w:val="18BC54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2866930">
    <w:abstractNumId w:val="10"/>
  </w:num>
  <w:num w:numId="2" w16cid:durableId="94600671">
    <w:abstractNumId w:val="2"/>
  </w:num>
  <w:num w:numId="3" w16cid:durableId="254099537">
    <w:abstractNumId w:val="1"/>
  </w:num>
  <w:num w:numId="4" w16cid:durableId="1628705182">
    <w:abstractNumId w:val="31"/>
  </w:num>
  <w:num w:numId="5" w16cid:durableId="654988111">
    <w:abstractNumId w:val="21"/>
  </w:num>
  <w:num w:numId="6" w16cid:durableId="1545362230">
    <w:abstractNumId w:val="33"/>
  </w:num>
  <w:num w:numId="7" w16cid:durableId="786505045">
    <w:abstractNumId w:val="26"/>
  </w:num>
  <w:num w:numId="8" w16cid:durableId="1707025638">
    <w:abstractNumId w:val="30"/>
  </w:num>
  <w:num w:numId="9" w16cid:durableId="1644433507">
    <w:abstractNumId w:val="24"/>
  </w:num>
  <w:num w:numId="10" w16cid:durableId="847601816">
    <w:abstractNumId w:val="20"/>
  </w:num>
  <w:num w:numId="11" w16cid:durableId="1651206359">
    <w:abstractNumId w:val="22"/>
  </w:num>
  <w:num w:numId="12" w16cid:durableId="764614485">
    <w:abstractNumId w:val="27"/>
  </w:num>
  <w:num w:numId="13" w16cid:durableId="1415591265">
    <w:abstractNumId w:val="18"/>
  </w:num>
  <w:num w:numId="14" w16cid:durableId="206379427">
    <w:abstractNumId w:val="29"/>
  </w:num>
  <w:num w:numId="15" w16cid:durableId="1306005604">
    <w:abstractNumId w:val="11"/>
  </w:num>
  <w:num w:numId="16" w16cid:durableId="2023120971">
    <w:abstractNumId w:val="28"/>
  </w:num>
  <w:num w:numId="17" w16cid:durableId="1297250307">
    <w:abstractNumId w:val="5"/>
  </w:num>
  <w:num w:numId="18" w16cid:durableId="1930849786">
    <w:abstractNumId w:val="7"/>
  </w:num>
  <w:num w:numId="19" w16cid:durableId="240604384">
    <w:abstractNumId w:val="6"/>
  </w:num>
  <w:num w:numId="20" w16cid:durableId="1331592783">
    <w:abstractNumId w:val="23"/>
  </w:num>
  <w:num w:numId="21" w16cid:durableId="1379403052">
    <w:abstractNumId w:val="3"/>
  </w:num>
  <w:num w:numId="22" w16cid:durableId="864173686">
    <w:abstractNumId w:val="0"/>
  </w:num>
  <w:num w:numId="23" w16cid:durableId="1726369628">
    <w:abstractNumId w:val="32"/>
  </w:num>
  <w:num w:numId="24" w16cid:durableId="556356959">
    <w:abstractNumId w:val="17"/>
  </w:num>
  <w:num w:numId="25" w16cid:durableId="567496947">
    <w:abstractNumId w:val="25"/>
  </w:num>
  <w:num w:numId="26" w16cid:durableId="11288203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8813061">
    <w:abstractNumId w:val="12"/>
  </w:num>
  <w:num w:numId="28" w16cid:durableId="14960451">
    <w:abstractNumId w:val="16"/>
  </w:num>
  <w:num w:numId="29" w16cid:durableId="672562040">
    <w:abstractNumId w:val="9"/>
  </w:num>
  <w:num w:numId="30" w16cid:durableId="50428902">
    <w:abstractNumId w:val="8"/>
  </w:num>
  <w:num w:numId="31" w16cid:durableId="1011107669">
    <w:abstractNumId w:val="13"/>
  </w:num>
  <w:num w:numId="32" w16cid:durableId="2147043798">
    <w:abstractNumId w:val="4"/>
  </w:num>
  <w:num w:numId="33" w16cid:durableId="1639340200">
    <w:abstractNumId w:val="19"/>
  </w:num>
  <w:num w:numId="34" w16cid:durableId="1734237553">
    <w:abstractNumId w:val="14"/>
  </w:num>
  <w:num w:numId="35" w16cid:durableId="20457830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pt-BR" w:vendorID="64" w:dllVersion="0" w:nlCheck="1" w:checkStyle="0"/>
  <w:activeWritingStyle w:appName="MSWord" w:lang="es-ES_tradnl" w:vendorID="64" w:dllVersion="4096"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20"/>
  <w:displayHorizontalDrawingGridEvery w:val="2"/>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4A2"/>
    <w:rsid w:val="00001817"/>
    <w:rsid w:val="00003608"/>
    <w:rsid w:val="0000483E"/>
    <w:rsid w:val="000071AB"/>
    <w:rsid w:val="0001126E"/>
    <w:rsid w:val="000126AB"/>
    <w:rsid w:val="000128AF"/>
    <w:rsid w:val="00012FC7"/>
    <w:rsid w:val="00015488"/>
    <w:rsid w:val="000155F1"/>
    <w:rsid w:val="00015843"/>
    <w:rsid w:val="00017474"/>
    <w:rsid w:val="000178F7"/>
    <w:rsid w:val="00024179"/>
    <w:rsid w:val="0002526F"/>
    <w:rsid w:val="00027035"/>
    <w:rsid w:val="00030769"/>
    <w:rsid w:val="000322B5"/>
    <w:rsid w:val="00032E70"/>
    <w:rsid w:val="0003447B"/>
    <w:rsid w:val="00034A3F"/>
    <w:rsid w:val="000371E8"/>
    <w:rsid w:val="0004617B"/>
    <w:rsid w:val="00046800"/>
    <w:rsid w:val="00046CC0"/>
    <w:rsid w:val="00053ADD"/>
    <w:rsid w:val="000551C3"/>
    <w:rsid w:val="00055510"/>
    <w:rsid w:val="000606D0"/>
    <w:rsid w:val="00060AB4"/>
    <w:rsid w:val="00061377"/>
    <w:rsid w:val="00061BF5"/>
    <w:rsid w:val="00066064"/>
    <w:rsid w:val="00066546"/>
    <w:rsid w:val="0006700A"/>
    <w:rsid w:val="00070F4E"/>
    <w:rsid w:val="000712AE"/>
    <w:rsid w:val="00071EDA"/>
    <w:rsid w:val="00073DE0"/>
    <w:rsid w:val="000750C3"/>
    <w:rsid w:val="00076730"/>
    <w:rsid w:val="00077291"/>
    <w:rsid w:val="00083EB0"/>
    <w:rsid w:val="00084A3D"/>
    <w:rsid w:val="00085BEB"/>
    <w:rsid w:val="0008702F"/>
    <w:rsid w:val="000914EA"/>
    <w:rsid w:val="000917E7"/>
    <w:rsid w:val="00092382"/>
    <w:rsid w:val="000934D1"/>
    <w:rsid w:val="00094D49"/>
    <w:rsid w:val="00097F3C"/>
    <w:rsid w:val="000A0360"/>
    <w:rsid w:val="000A2457"/>
    <w:rsid w:val="000A3272"/>
    <w:rsid w:val="000A35A1"/>
    <w:rsid w:val="000A571F"/>
    <w:rsid w:val="000A712E"/>
    <w:rsid w:val="000A7354"/>
    <w:rsid w:val="000A7B3C"/>
    <w:rsid w:val="000B0D11"/>
    <w:rsid w:val="000B26B3"/>
    <w:rsid w:val="000B2902"/>
    <w:rsid w:val="000B3869"/>
    <w:rsid w:val="000B57B1"/>
    <w:rsid w:val="000B6A76"/>
    <w:rsid w:val="000C0158"/>
    <w:rsid w:val="000C2B28"/>
    <w:rsid w:val="000C31BC"/>
    <w:rsid w:val="000C69E5"/>
    <w:rsid w:val="000D3FEC"/>
    <w:rsid w:val="000E1905"/>
    <w:rsid w:val="000E19B4"/>
    <w:rsid w:val="000E3AF6"/>
    <w:rsid w:val="000E4CEC"/>
    <w:rsid w:val="000F1EC8"/>
    <w:rsid w:val="000F37AC"/>
    <w:rsid w:val="000F69CF"/>
    <w:rsid w:val="00103204"/>
    <w:rsid w:val="001042D9"/>
    <w:rsid w:val="00106316"/>
    <w:rsid w:val="00106B80"/>
    <w:rsid w:val="001121AB"/>
    <w:rsid w:val="001129FB"/>
    <w:rsid w:val="001143C8"/>
    <w:rsid w:val="00117E01"/>
    <w:rsid w:val="00120017"/>
    <w:rsid w:val="00121C0E"/>
    <w:rsid w:val="001231F2"/>
    <w:rsid w:val="00123A3E"/>
    <w:rsid w:val="00124A05"/>
    <w:rsid w:val="0012535D"/>
    <w:rsid w:val="001253F7"/>
    <w:rsid w:val="001269A5"/>
    <w:rsid w:val="00133031"/>
    <w:rsid w:val="001337AD"/>
    <w:rsid w:val="001338FB"/>
    <w:rsid w:val="00135BF3"/>
    <w:rsid w:val="00136AA1"/>
    <w:rsid w:val="0013778B"/>
    <w:rsid w:val="0014172C"/>
    <w:rsid w:val="00141DA5"/>
    <w:rsid w:val="001431A2"/>
    <w:rsid w:val="0014476B"/>
    <w:rsid w:val="00144D95"/>
    <w:rsid w:val="001467BD"/>
    <w:rsid w:val="001501D2"/>
    <w:rsid w:val="00152C67"/>
    <w:rsid w:val="00152D03"/>
    <w:rsid w:val="0015386E"/>
    <w:rsid w:val="00155570"/>
    <w:rsid w:val="00161A34"/>
    <w:rsid w:val="00162A75"/>
    <w:rsid w:val="00162F16"/>
    <w:rsid w:val="00163CDA"/>
    <w:rsid w:val="00164EF2"/>
    <w:rsid w:val="0017338D"/>
    <w:rsid w:val="0017401E"/>
    <w:rsid w:val="001751A2"/>
    <w:rsid w:val="001759D0"/>
    <w:rsid w:val="001761BF"/>
    <w:rsid w:val="00181316"/>
    <w:rsid w:val="001817FC"/>
    <w:rsid w:val="001839D1"/>
    <w:rsid w:val="00184086"/>
    <w:rsid w:val="00184C7A"/>
    <w:rsid w:val="00186A6E"/>
    <w:rsid w:val="00190020"/>
    <w:rsid w:val="00191AC8"/>
    <w:rsid w:val="00191D0E"/>
    <w:rsid w:val="001A05F5"/>
    <w:rsid w:val="001A30AD"/>
    <w:rsid w:val="001A41E3"/>
    <w:rsid w:val="001A4476"/>
    <w:rsid w:val="001B309F"/>
    <w:rsid w:val="001B472A"/>
    <w:rsid w:val="001B4EDE"/>
    <w:rsid w:val="001B715F"/>
    <w:rsid w:val="001C159A"/>
    <w:rsid w:val="001C4B5E"/>
    <w:rsid w:val="001C4E1B"/>
    <w:rsid w:val="001C71A7"/>
    <w:rsid w:val="001C7C30"/>
    <w:rsid w:val="001D373D"/>
    <w:rsid w:val="001D3CB0"/>
    <w:rsid w:val="001D68B6"/>
    <w:rsid w:val="001E1E55"/>
    <w:rsid w:val="001F0C19"/>
    <w:rsid w:val="001F12D7"/>
    <w:rsid w:val="001F26DE"/>
    <w:rsid w:val="001F52ED"/>
    <w:rsid w:val="001F6385"/>
    <w:rsid w:val="002003D2"/>
    <w:rsid w:val="00201012"/>
    <w:rsid w:val="00204E4E"/>
    <w:rsid w:val="00206865"/>
    <w:rsid w:val="00212226"/>
    <w:rsid w:val="00212B45"/>
    <w:rsid w:val="002136D3"/>
    <w:rsid w:val="00215CD1"/>
    <w:rsid w:val="00217126"/>
    <w:rsid w:val="00220631"/>
    <w:rsid w:val="002215D8"/>
    <w:rsid w:val="00221726"/>
    <w:rsid w:val="00221BFB"/>
    <w:rsid w:val="002226AC"/>
    <w:rsid w:val="002227D9"/>
    <w:rsid w:val="00223684"/>
    <w:rsid w:val="00224368"/>
    <w:rsid w:val="00226542"/>
    <w:rsid w:val="00231919"/>
    <w:rsid w:val="002323F4"/>
    <w:rsid w:val="00234C4B"/>
    <w:rsid w:val="00240863"/>
    <w:rsid w:val="00244A86"/>
    <w:rsid w:val="002535E8"/>
    <w:rsid w:val="00256BF7"/>
    <w:rsid w:val="00257F03"/>
    <w:rsid w:val="002648A3"/>
    <w:rsid w:val="002665FA"/>
    <w:rsid w:val="0026693C"/>
    <w:rsid w:val="0027046C"/>
    <w:rsid w:val="00272820"/>
    <w:rsid w:val="00273AB6"/>
    <w:rsid w:val="00275172"/>
    <w:rsid w:val="00276F9D"/>
    <w:rsid w:val="00277681"/>
    <w:rsid w:val="00277B5B"/>
    <w:rsid w:val="00286FDE"/>
    <w:rsid w:val="00290A98"/>
    <w:rsid w:val="00291AC2"/>
    <w:rsid w:val="0029228C"/>
    <w:rsid w:val="002943AE"/>
    <w:rsid w:val="00295A27"/>
    <w:rsid w:val="00297D92"/>
    <w:rsid w:val="002A08F2"/>
    <w:rsid w:val="002A0EBA"/>
    <w:rsid w:val="002A233B"/>
    <w:rsid w:val="002A30CE"/>
    <w:rsid w:val="002A35E4"/>
    <w:rsid w:val="002A69ED"/>
    <w:rsid w:val="002A7720"/>
    <w:rsid w:val="002B0165"/>
    <w:rsid w:val="002B059E"/>
    <w:rsid w:val="002B5380"/>
    <w:rsid w:val="002B78CB"/>
    <w:rsid w:val="002C02B6"/>
    <w:rsid w:val="002C1EB0"/>
    <w:rsid w:val="002C2547"/>
    <w:rsid w:val="002D271F"/>
    <w:rsid w:val="002D2D46"/>
    <w:rsid w:val="002E2497"/>
    <w:rsid w:val="002E25DF"/>
    <w:rsid w:val="002E3B4F"/>
    <w:rsid w:val="002F1837"/>
    <w:rsid w:val="002F1D8F"/>
    <w:rsid w:val="002F23CD"/>
    <w:rsid w:val="002F3D47"/>
    <w:rsid w:val="002F7E51"/>
    <w:rsid w:val="00302FE6"/>
    <w:rsid w:val="00303920"/>
    <w:rsid w:val="00305E33"/>
    <w:rsid w:val="003136BC"/>
    <w:rsid w:val="003167CE"/>
    <w:rsid w:val="00316940"/>
    <w:rsid w:val="00316F23"/>
    <w:rsid w:val="00317C78"/>
    <w:rsid w:val="00330733"/>
    <w:rsid w:val="00331EF6"/>
    <w:rsid w:val="0033348B"/>
    <w:rsid w:val="00334411"/>
    <w:rsid w:val="003353C4"/>
    <w:rsid w:val="00343C8D"/>
    <w:rsid w:val="003444C7"/>
    <w:rsid w:val="00346680"/>
    <w:rsid w:val="003474D4"/>
    <w:rsid w:val="0036049F"/>
    <w:rsid w:val="00361432"/>
    <w:rsid w:val="003615AB"/>
    <w:rsid w:val="0036302D"/>
    <w:rsid w:val="00363D44"/>
    <w:rsid w:val="0036421F"/>
    <w:rsid w:val="003659B1"/>
    <w:rsid w:val="00370440"/>
    <w:rsid w:val="003718CE"/>
    <w:rsid w:val="0037714F"/>
    <w:rsid w:val="00377C84"/>
    <w:rsid w:val="00377D4D"/>
    <w:rsid w:val="0038292B"/>
    <w:rsid w:val="00382CBA"/>
    <w:rsid w:val="0038310A"/>
    <w:rsid w:val="00383624"/>
    <w:rsid w:val="00383A89"/>
    <w:rsid w:val="00385652"/>
    <w:rsid w:val="00395888"/>
    <w:rsid w:val="0039649C"/>
    <w:rsid w:val="00397EEC"/>
    <w:rsid w:val="003A036D"/>
    <w:rsid w:val="003A1F94"/>
    <w:rsid w:val="003A352A"/>
    <w:rsid w:val="003A3844"/>
    <w:rsid w:val="003A4315"/>
    <w:rsid w:val="003B483D"/>
    <w:rsid w:val="003B513A"/>
    <w:rsid w:val="003B74F9"/>
    <w:rsid w:val="003B797A"/>
    <w:rsid w:val="003C1431"/>
    <w:rsid w:val="003C2B78"/>
    <w:rsid w:val="003C3035"/>
    <w:rsid w:val="003C3B65"/>
    <w:rsid w:val="003C6697"/>
    <w:rsid w:val="003C7BDF"/>
    <w:rsid w:val="003E0054"/>
    <w:rsid w:val="003E22B1"/>
    <w:rsid w:val="003E5979"/>
    <w:rsid w:val="003E5F8E"/>
    <w:rsid w:val="003E63DC"/>
    <w:rsid w:val="003E78B0"/>
    <w:rsid w:val="003E7CED"/>
    <w:rsid w:val="003F0582"/>
    <w:rsid w:val="003F1DB2"/>
    <w:rsid w:val="003F2788"/>
    <w:rsid w:val="003F5014"/>
    <w:rsid w:val="003F657C"/>
    <w:rsid w:val="003F6F3D"/>
    <w:rsid w:val="003F750C"/>
    <w:rsid w:val="003F77A3"/>
    <w:rsid w:val="00402DDE"/>
    <w:rsid w:val="004032AD"/>
    <w:rsid w:val="00406BFC"/>
    <w:rsid w:val="00407B57"/>
    <w:rsid w:val="00407ED6"/>
    <w:rsid w:val="00411223"/>
    <w:rsid w:val="00420F32"/>
    <w:rsid w:val="004213D6"/>
    <w:rsid w:val="0042239F"/>
    <w:rsid w:val="00422E31"/>
    <w:rsid w:val="00424724"/>
    <w:rsid w:val="00425932"/>
    <w:rsid w:val="004331BD"/>
    <w:rsid w:val="004336EE"/>
    <w:rsid w:val="00434BA4"/>
    <w:rsid w:val="004360DB"/>
    <w:rsid w:val="004400A5"/>
    <w:rsid w:val="0044027A"/>
    <w:rsid w:val="0044297B"/>
    <w:rsid w:val="00450FC0"/>
    <w:rsid w:val="00461A5B"/>
    <w:rsid w:val="00462073"/>
    <w:rsid w:val="004639FA"/>
    <w:rsid w:val="004749EF"/>
    <w:rsid w:val="00474A23"/>
    <w:rsid w:val="00475622"/>
    <w:rsid w:val="00482698"/>
    <w:rsid w:val="00485F3F"/>
    <w:rsid w:val="00487244"/>
    <w:rsid w:val="0049161E"/>
    <w:rsid w:val="0049330A"/>
    <w:rsid w:val="004A2877"/>
    <w:rsid w:val="004A2F8A"/>
    <w:rsid w:val="004A3602"/>
    <w:rsid w:val="004A582E"/>
    <w:rsid w:val="004A7552"/>
    <w:rsid w:val="004A79F1"/>
    <w:rsid w:val="004B19CC"/>
    <w:rsid w:val="004B1CC4"/>
    <w:rsid w:val="004B3462"/>
    <w:rsid w:val="004B3886"/>
    <w:rsid w:val="004B3AFF"/>
    <w:rsid w:val="004B7EA9"/>
    <w:rsid w:val="004C228B"/>
    <w:rsid w:val="004C266E"/>
    <w:rsid w:val="004C3AE0"/>
    <w:rsid w:val="004C5A93"/>
    <w:rsid w:val="004C5BC7"/>
    <w:rsid w:val="004C6F0C"/>
    <w:rsid w:val="004D0CE0"/>
    <w:rsid w:val="004D22EC"/>
    <w:rsid w:val="004D404D"/>
    <w:rsid w:val="004D4245"/>
    <w:rsid w:val="004D61D4"/>
    <w:rsid w:val="004D6241"/>
    <w:rsid w:val="004D65CC"/>
    <w:rsid w:val="004D6A85"/>
    <w:rsid w:val="004E6C00"/>
    <w:rsid w:val="004F02D1"/>
    <w:rsid w:val="004F0B56"/>
    <w:rsid w:val="004F22AD"/>
    <w:rsid w:val="004F338C"/>
    <w:rsid w:val="004F369A"/>
    <w:rsid w:val="004F396B"/>
    <w:rsid w:val="005000EC"/>
    <w:rsid w:val="00501461"/>
    <w:rsid w:val="00501A56"/>
    <w:rsid w:val="00501B6C"/>
    <w:rsid w:val="0050229A"/>
    <w:rsid w:val="0050609A"/>
    <w:rsid w:val="00507FF9"/>
    <w:rsid w:val="00515388"/>
    <w:rsid w:val="00515F36"/>
    <w:rsid w:val="005161CE"/>
    <w:rsid w:val="00516548"/>
    <w:rsid w:val="00522268"/>
    <w:rsid w:val="00524D71"/>
    <w:rsid w:val="00527ABE"/>
    <w:rsid w:val="0053027C"/>
    <w:rsid w:val="0053166F"/>
    <w:rsid w:val="00534DEB"/>
    <w:rsid w:val="00535731"/>
    <w:rsid w:val="00536BB6"/>
    <w:rsid w:val="00541226"/>
    <w:rsid w:val="005426E8"/>
    <w:rsid w:val="00542E10"/>
    <w:rsid w:val="005511B4"/>
    <w:rsid w:val="00551E56"/>
    <w:rsid w:val="00552502"/>
    <w:rsid w:val="00552DC4"/>
    <w:rsid w:val="00557299"/>
    <w:rsid w:val="00557ECC"/>
    <w:rsid w:val="00563078"/>
    <w:rsid w:val="0056322F"/>
    <w:rsid w:val="005642F2"/>
    <w:rsid w:val="0056624C"/>
    <w:rsid w:val="00571701"/>
    <w:rsid w:val="00572B8B"/>
    <w:rsid w:val="00574D5D"/>
    <w:rsid w:val="0058030D"/>
    <w:rsid w:val="005818B6"/>
    <w:rsid w:val="005826D4"/>
    <w:rsid w:val="005833A6"/>
    <w:rsid w:val="00584B73"/>
    <w:rsid w:val="0058717A"/>
    <w:rsid w:val="00592917"/>
    <w:rsid w:val="00592C3D"/>
    <w:rsid w:val="005955D5"/>
    <w:rsid w:val="005A047C"/>
    <w:rsid w:val="005A32D3"/>
    <w:rsid w:val="005B1089"/>
    <w:rsid w:val="005B2DFE"/>
    <w:rsid w:val="005C33B6"/>
    <w:rsid w:val="005C3BFB"/>
    <w:rsid w:val="005C4BA0"/>
    <w:rsid w:val="005C5C1D"/>
    <w:rsid w:val="005C5DB4"/>
    <w:rsid w:val="005C6A7D"/>
    <w:rsid w:val="005D14E8"/>
    <w:rsid w:val="005D21F2"/>
    <w:rsid w:val="005D3A17"/>
    <w:rsid w:val="005D4ED2"/>
    <w:rsid w:val="005D6014"/>
    <w:rsid w:val="005D71BE"/>
    <w:rsid w:val="005D76BF"/>
    <w:rsid w:val="005E1519"/>
    <w:rsid w:val="005E2F57"/>
    <w:rsid w:val="005E3BD3"/>
    <w:rsid w:val="005E6380"/>
    <w:rsid w:val="005E797D"/>
    <w:rsid w:val="005F4924"/>
    <w:rsid w:val="005F509D"/>
    <w:rsid w:val="005F66EB"/>
    <w:rsid w:val="005F777D"/>
    <w:rsid w:val="00601911"/>
    <w:rsid w:val="0060313E"/>
    <w:rsid w:val="006034B7"/>
    <w:rsid w:val="00604C0D"/>
    <w:rsid w:val="00606C65"/>
    <w:rsid w:val="006075FC"/>
    <w:rsid w:val="00610050"/>
    <w:rsid w:val="00610AFB"/>
    <w:rsid w:val="006131FF"/>
    <w:rsid w:val="006162DF"/>
    <w:rsid w:val="00621BD7"/>
    <w:rsid w:val="00622C43"/>
    <w:rsid w:val="00623A5A"/>
    <w:rsid w:val="00623C26"/>
    <w:rsid w:val="00625474"/>
    <w:rsid w:val="00625E5B"/>
    <w:rsid w:val="00627088"/>
    <w:rsid w:val="00630AE5"/>
    <w:rsid w:val="00630E83"/>
    <w:rsid w:val="0063297D"/>
    <w:rsid w:val="0063382E"/>
    <w:rsid w:val="0063585C"/>
    <w:rsid w:val="00641645"/>
    <w:rsid w:val="006479BB"/>
    <w:rsid w:val="00647DC9"/>
    <w:rsid w:val="00653C2E"/>
    <w:rsid w:val="006542F7"/>
    <w:rsid w:val="00656C59"/>
    <w:rsid w:val="00661203"/>
    <w:rsid w:val="00662BB4"/>
    <w:rsid w:val="00664EF0"/>
    <w:rsid w:val="006708C8"/>
    <w:rsid w:val="00672682"/>
    <w:rsid w:val="0067372A"/>
    <w:rsid w:val="0068603C"/>
    <w:rsid w:val="006877D5"/>
    <w:rsid w:val="00690BE3"/>
    <w:rsid w:val="00696C55"/>
    <w:rsid w:val="006A0AF4"/>
    <w:rsid w:val="006A5305"/>
    <w:rsid w:val="006A5C32"/>
    <w:rsid w:val="006A7910"/>
    <w:rsid w:val="006B09C9"/>
    <w:rsid w:val="006B16CE"/>
    <w:rsid w:val="006B31AD"/>
    <w:rsid w:val="006B3489"/>
    <w:rsid w:val="006C048A"/>
    <w:rsid w:val="006C0BDA"/>
    <w:rsid w:val="006C3365"/>
    <w:rsid w:val="006C3F4E"/>
    <w:rsid w:val="006C56F7"/>
    <w:rsid w:val="006C5B76"/>
    <w:rsid w:val="006D25CC"/>
    <w:rsid w:val="006D38E7"/>
    <w:rsid w:val="006E58ED"/>
    <w:rsid w:val="006E6768"/>
    <w:rsid w:val="006F08B1"/>
    <w:rsid w:val="006F368F"/>
    <w:rsid w:val="006F437B"/>
    <w:rsid w:val="006F48BF"/>
    <w:rsid w:val="0070065E"/>
    <w:rsid w:val="00700FC9"/>
    <w:rsid w:val="00703053"/>
    <w:rsid w:val="00710D4A"/>
    <w:rsid w:val="007146EA"/>
    <w:rsid w:val="00722DB5"/>
    <w:rsid w:val="007241F4"/>
    <w:rsid w:val="00725CFF"/>
    <w:rsid w:val="0072642E"/>
    <w:rsid w:val="007271D2"/>
    <w:rsid w:val="00727249"/>
    <w:rsid w:val="00732B06"/>
    <w:rsid w:val="00733A13"/>
    <w:rsid w:val="00736129"/>
    <w:rsid w:val="00742A8E"/>
    <w:rsid w:val="00743026"/>
    <w:rsid w:val="00744B37"/>
    <w:rsid w:val="007454A5"/>
    <w:rsid w:val="00746CFD"/>
    <w:rsid w:val="0075109B"/>
    <w:rsid w:val="00754661"/>
    <w:rsid w:val="00754CE4"/>
    <w:rsid w:val="007550B5"/>
    <w:rsid w:val="00755B90"/>
    <w:rsid w:val="00757E1E"/>
    <w:rsid w:val="00760023"/>
    <w:rsid w:val="007608C2"/>
    <w:rsid w:val="007618A4"/>
    <w:rsid w:val="00763151"/>
    <w:rsid w:val="007647A5"/>
    <w:rsid w:val="00765023"/>
    <w:rsid w:val="00766E54"/>
    <w:rsid w:val="00767DD3"/>
    <w:rsid w:val="00767E2E"/>
    <w:rsid w:val="00775AD0"/>
    <w:rsid w:val="00775B71"/>
    <w:rsid w:val="007767EC"/>
    <w:rsid w:val="00777020"/>
    <w:rsid w:val="00783930"/>
    <w:rsid w:val="00784D47"/>
    <w:rsid w:val="007868F6"/>
    <w:rsid w:val="00790837"/>
    <w:rsid w:val="007923AB"/>
    <w:rsid w:val="007940EA"/>
    <w:rsid w:val="007A5EB6"/>
    <w:rsid w:val="007A7295"/>
    <w:rsid w:val="007B1B5E"/>
    <w:rsid w:val="007B2343"/>
    <w:rsid w:val="007B53BD"/>
    <w:rsid w:val="007B5D17"/>
    <w:rsid w:val="007B71E4"/>
    <w:rsid w:val="007C07AB"/>
    <w:rsid w:val="007C34EF"/>
    <w:rsid w:val="007C6077"/>
    <w:rsid w:val="007C7120"/>
    <w:rsid w:val="007D0F27"/>
    <w:rsid w:val="007D1F11"/>
    <w:rsid w:val="007D227D"/>
    <w:rsid w:val="007E34A3"/>
    <w:rsid w:val="007E5DAA"/>
    <w:rsid w:val="007E69CE"/>
    <w:rsid w:val="007F0CEA"/>
    <w:rsid w:val="007F110F"/>
    <w:rsid w:val="007F1A9E"/>
    <w:rsid w:val="007F33FB"/>
    <w:rsid w:val="007F4FA6"/>
    <w:rsid w:val="007F5B7A"/>
    <w:rsid w:val="007F78BE"/>
    <w:rsid w:val="00800E6F"/>
    <w:rsid w:val="00801953"/>
    <w:rsid w:val="0080204F"/>
    <w:rsid w:val="00805494"/>
    <w:rsid w:val="00806C61"/>
    <w:rsid w:val="00812C42"/>
    <w:rsid w:val="00812F19"/>
    <w:rsid w:val="008131EA"/>
    <w:rsid w:val="0081557D"/>
    <w:rsid w:val="00815672"/>
    <w:rsid w:val="008216BE"/>
    <w:rsid w:val="00824DC3"/>
    <w:rsid w:val="0083329C"/>
    <w:rsid w:val="00833435"/>
    <w:rsid w:val="0083531A"/>
    <w:rsid w:val="00835CBE"/>
    <w:rsid w:val="008366D4"/>
    <w:rsid w:val="008437A5"/>
    <w:rsid w:val="0084713F"/>
    <w:rsid w:val="008506F9"/>
    <w:rsid w:val="00853239"/>
    <w:rsid w:val="00855078"/>
    <w:rsid w:val="008570FC"/>
    <w:rsid w:val="00857FF6"/>
    <w:rsid w:val="008636EF"/>
    <w:rsid w:val="00863AA0"/>
    <w:rsid w:val="0087376D"/>
    <w:rsid w:val="00874C2C"/>
    <w:rsid w:val="0088277A"/>
    <w:rsid w:val="00884CAD"/>
    <w:rsid w:val="00886BAD"/>
    <w:rsid w:val="0088744F"/>
    <w:rsid w:val="00890DAA"/>
    <w:rsid w:val="0089140A"/>
    <w:rsid w:val="00891878"/>
    <w:rsid w:val="008932CF"/>
    <w:rsid w:val="00894DA4"/>
    <w:rsid w:val="00895F0F"/>
    <w:rsid w:val="00897690"/>
    <w:rsid w:val="008A01C1"/>
    <w:rsid w:val="008A0772"/>
    <w:rsid w:val="008A2E83"/>
    <w:rsid w:val="008A79F9"/>
    <w:rsid w:val="008B00C6"/>
    <w:rsid w:val="008B0178"/>
    <w:rsid w:val="008B01B8"/>
    <w:rsid w:val="008B1786"/>
    <w:rsid w:val="008B57F8"/>
    <w:rsid w:val="008C4660"/>
    <w:rsid w:val="008C6416"/>
    <w:rsid w:val="008C6988"/>
    <w:rsid w:val="008D6F6E"/>
    <w:rsid w:val="008D7675"/>
    <w:rsid w:val="008D7E4A"/>
    <w:rsid w:val="008E256D"/>
    <w:rsid w:val="008E27C6"/>
    <w:rsid w:val="008E6B03"/>
    <w:rsid w:val="008E74D9"/>
    <w:rsid w:val="008F053C"/>
    <w:rsid w:val="008F5775"/>
    <w:rsid w:val="0090026D"/>
    <w:rsid w:val="0090086F"/>
    <w:rsid w:val="00900CBE"/>
    <w:rsid w:val="00900EB1"/>
    <w:rsid w:val="0090262A"/>
    <w:rsid w:val="009033BD"/>
    <w:rsid w:val="00903F3B"/>
    <w:rsid w:val="00910851"/>
    <w:rsid w:val="00912AEC"/>
    <w:rsid w:val="00915579"/>
    <w:rsid w:val="00920D7A"/>
    <w:rsid w:val="00921435"/>
    <w:rsid w:val="009266AB"/>
    <w:rsid w:val="00926C52"/>
    <w:rsid w:val="00927897"/>
    <w:rsid w:val="009278D1"/>
    <w:rsid w:val="0093131B"/>
    <w:rsid w:val="00932E69"/>
    <w:rsid w:val="00933BD5"/>
    <w:rsid w:val="009367B7"/>
    <w:rsid w:val="00942D64"/>
    <w:rsid w:val="00944D71"/>
    <w:rsid w:val="00946EE0"/>
    <w:rsid w:val="00947B8A"/>
    <w:rsid w:val="009523E7"/>
    <w:rsid w:val="009538D9"/>
    <w:rsid w:val="00954E63"/>
    <w:rsid w:val="00955E53"/>
    <w:rsid w:val="0095600C"/>
    <w:rsid w:val="0095631D"/>
    <w:rsid w:val="00965AF8"/>
    <w:rsid w:val="009662E1"/>
    <w:rsid w:val="00976BCA"/>
    <w:rsid w:val="00977900"/>
    <w:rsid w:val="009848F1"/>
    <w:rsid w:val="00985B2D"/>
    <w:rsid w:val="00991F81"/>
    <w:rsid w:val="00993092"/>
    <w:rsid w:val="009959C6"/>
    <w:rsid w:val="00995CB3"/>
    <w:rsid w:val="00997683"/>
    <w:rsid w:val="009A058B"/>
    <w:rsid w:val="009A435A"/>
    <w:rsid w:val="009A44D8"/>
    <w:rsid w:val="009A5ADB"/>
    <w:rsid w:val="009B0F10"/>
    <w:rsid w:val="009B4C4A"/>
    <w:rsid w:val="009C3D21"/>
    <w:rsid w:val="009C3E0F"/>
    <w:rsid w:val="009C5ADA"/>
    <w:rsid w:val="009C6C67"/>
    <w:rsid w:val="009D1749"/>
    <w:rsid w:val="009D2402"/>
    <w:rsid w:val="009D2C97"/>
    <w:rsid w:val="009D5508"/>
    <w:rsid w:val="009D7345"/>
    <w:rsid w:val="009E2646"/>
    <w:rsid w:val="009E2D9A"/>
    <w:rsid w:val="009E30AD"/>
    <w:rsid w:val="009E3DC9"/>
    <w:rsid w:val="009E6E79"/>
    <w:rsid w:val="009E70AB"/>
    <w:rsid w:val="009E7931"/>
    <w:rsid w:val="009F7EDD"/>
    <w:rsid w:val="00A00C38"/>
    <w:rsid w:val="00A023B4"/>
    <w:rsid w:val="00A0279D"/>
    <w:rsid w:val="00A03810"/>
    <w:rsid w:val="00A11822"/>
    <w:rsid w:val="00A11D92"/>
    <w:rsid w:val="00A15E3D"/>
    <w:rsid w:val="00A20B54"/>
    <w:rsid w:val="00A21C98"/>
    <w:rsid w:val="00A306DE"/>
    <w:rsid w:val="00A31AA9"/>
    <w:rsid w:val="00A3540F"/>
    <w:rsid w:val="00A359C8"/>
    <w:rsid w:val="00A36582"/>
    <w:rsid w:val="00A36677"/>
    <w:rsid w:val="00A36DE2"/>
    <w:rsid w:val="00A37705"/>
    <w:rsid w:val="00A41158"/>
    <w:rsid w:val="00A416BE"/>
    <w:rsid w:val="00A43CBF"/>
    <w:rsid w:val="00A44AC9"/>
    <w:rsid w:val="00A45B4A"/>
    <w:rsid w:val="00A50CDE"/>
    <w:rsid w:val="00A51C69"/>
    <w:rsid w:val="00A532F1"/>
    <w:rsid w:val="00A53EC7"/>
    <w:rsid w:val="00A6117E"/>
    <w:rsid w:val="00A61858"/>
    <w:rsid w:val="00A6397B"/>
    <w:rsid w:val="00A642BE"/>
    <w:rsid w:val="00A64A61"/>
    <w:rsid w:val="00A70D3C"/>
    <w:rsid w:val="00A70EAE"/>
    <w:rsid w:val="00A7194E"/>
    <w:rsid w:val="00A7665C"/>
    <w:rsid w:val="00A76BFA"/>
    <w:rsid w:val="00A775E7"/>
    <w:rsid w:val="00A81E0A"/>
    <w:rsid w:val="00A85FB8"/>
    <w:rsid w:val="00A926AD"/>
    <w:rsid w:val="00A93187"/>
    <w:rsid w:val="00A95416"/>
    <w:rsid w:val="00A95E6F"/>
    <w:rsid w:val="00A96E49"/>
    <w:rsid w:val="00A9720B"/>
    <w:rsid w:val="00A97909"/>
    <w:rsid w:val="00AA0D2F"/>
    <w:rsid w:val="00AA2447"/>
    <w:rsid w:val="00AA39B3"/>
    <w:rsid w:val="00AA4D77"/>
    <w:rsid w:val="00AA59C8"/>
    <w:rsid w:val="00AB09F9"/>
    <w:rsid w:val="00AB1CC5"/>
    <w:rsid w:val="00AB36C0"/>
    <w:rsid w:val="00AB3DF5"/>
    <w:rsid w:val="00AB4524"/>
    <w:rsid w:val="00AB5B13"/>
    <w:rsid w:val="00AB7EB5"/>
    <w:rsid w:val="00AC0CBA"/>
    <w:rsid w:val="00AC1ED6"/>
    <w:rsid w:val="00AC207D"/>
    <w:rsid w:val="00AC41B1"/>
    <w:rsid w:val="00AC5E8B"/>
    <w:rsid w:val="00AC6AF5"/>
    <w:rsid w:val="00AC70BA"/>
    <w:rsid w:val="00AD126E"/>
    <w:rsid w:val="00AD1898"/>
    <w:rsid w:val="00AD3806"/>
    <w:rsid w:val="00AE602C"/>
    <w:rsid w:val="00AE6C42"/>
    <w:rsid w:val="00AE7314"/>
    <w:rsid w:val="00AF2807"/>
    <w:rsid w:val="00AF2D31"/>
    <w:rsid w:val="00AF536A"/>
    <w:rsid w:val="00AF58CF"/>
    <w:rsid w:val="00AF642C"/>
    <w:rsid w:val="00AF6AE5"/>
    <w:rsid w:val="00B046A2"/>
    <w:rsid w:val="00B04B54"/>
    <w:rsid w:val="00B05A12"/>
    <w:rsid w:val="00B10AD4"/>
    <w:rsid w:val="00B10D97"/>
    <w:rsid w:val="00B121FE"/>
    <w:rsid w:val="00B12419"/>
    <w:rsid w:val="00B15653"/>
    <w:rsid w:val="00B16887"/>
    <w:rsid w:val="00B22227"/>
    <w:rsid w:val="00B2242D"/>
    <w:rsid w:val="00B23E16"/>
    <w:rsid w:val="00B26672"/>
    <w:rsid w:val="00B2797C"/>
    <w:rsid w:val="00B3382C"/>
    <w:rsid w:val="00B33DD1"/>
    <w:rsid w:val="00B35EBA"/>
    <w:rsid w:val="00B47F05"/>
    <w:rsid w:val="00B51110"/>
    <w:rsid w:val="00B519E9"/>
    <w:rsid w:val="00B51EF0"/>
    <w:rsid w:val="00B5240D"/>
    <w:rsid w:val="00B5680F"/>
    <w:rsid w:val="00B6239D"/>
    <w:rsid w:val="00B64A37"/>
    <w:rsid w:val="00B725C7"/>
    <w:rsid w:val="00B73BE9"/>
    <w:rsid w:val="00B77E58"/>
    <w:rsid w:val="00B82774"/>
    <w:rsid w:val="00B84C0B"/>
    <w:rsid w:val="00B8622A"/>
    <w:rsid w:val="00B9055C"/>
    <w:rsid w:val="00B93E46"/>
    <w:rsid w:val="00B9415A"/>
    <w:rsid w:val="00B94676"/>
    <w:rsid w:val="00B9478A"/>
    <w:rsid w:val="00B96AEA"/>
    <w:rsid w:val="00B97247"/>
    <w:rsid w:val="00BA1AB0"/>
    <w:rsid w:val="00BA1D0C"/>
    <w:rsid w:val="00BA2AF3"/>
    <w:rsid w:val="00BA4402"/>
    <w:rsid w:val="00BA4687"/>
    <w:rsid w:val="00BA693E"/>
    <w:rsid w:val="00BC04CA"/>
    <w:rsid w:val="00BC063A"/>
    <w:rsid w:val="00BC1AC4"/>
    <w:rsid w:val="00BC5E59"/>
    <w:rsid w:val="00BC6315"/>
    <w:rsid w:val="00BC71EF"/>
    <w:rsid w:val="00BD324B"/>
    <w:rsid w:val="00BD47BC"/>
    <w:rsid w:val="00BD568A"/>
    <w:rsid w:val="00BD7D71"/>
    <w:rsid w:val="00BE1613"/>
    <w:rsid w:val="00BE26FE"/>
    <w:rsid w:val="00BE2999"/>
    <w:rsid w:val="00BE36B6"/>
    <w:rsid w:val="00BE710E"/>
    <w:rsid w:val="00BE798D"/>
    <w:rsid w:val="00BF397F"/>
    <w:rsid w:val="00BF50DA"/>
    <w:rsid w:val="00BF6B9C"/>
    <w:rsid w:val="00BF6DF7"/>
    <w:rsid w:val="00C001A6"/>
    <w:rsid w:val="00C00B46"/>
    <w:rsid w:val="00C036A5"/>
    <w:rsid w:val="00C049EA"/>
    <w:rsid w:val="00C05378"/>
    <w:rsid w:val="00C0691D"/>
    <w:rsid w:val="00C104A3"/>
    <w:rsid w:val="00C130D9"/>
    <w:rsid w:val="00C15952"/>
    <w:rsid w:val="00C16FC2"/>
    <w:rsid w:val="00C22285"/>
    <w:rsid w:val="00C225F7"/>
    <w:rsid w:val="00C22919"/>
    <w:rsid w:val="00C2737A"/>
    <w:rsid w:val="00C305CB"/>
    <w:rsid w:val="00C3156C"/>
    <w:rsid w:val="00C33D71"/>
    <w:rsid w:val="00C34B0A"/>
    <w:rsid w:val="00C35006"/>
    <w:rsid w:val="00C35FCB"/>
    <w:rsid w:val="00C4271B"/>
    <w:rsid w:val="00C45981"/>
    <w:rsid w:val="00C45D6E"/>
    <w:rsid w:val="00C46496"/>
    <w:rsid w:val="00C57BF4"/>
    <w:rsid w:val="00C60068"/>
    <w:rsid w:val="00C62D63"/>
    <w:rsid w:val="00C632AE"/>
    <w:rsid w:val="00C6402E"/>
    <w:rsid w:val="00C64314"/>
    <w:rsid w:val="00C658AE"/>
    <w:rsid w:val="00C664DB"/>
    <w:rsid w:val="00C668D8"/>
    <w:rsid w:val="00C67A47"/>
    <w:rsid w:val="00C70998"/>
    <w:rsid w:val="00C7192B"/>
    <w:rsid w:val="00C72100"/>
    <w:rsid w:val="00C74F72"/>
    <w:rsid w:val="00C75F12"/>
    <w:rsid w:val="00C813BA"/>
    <w:rsid w:val="00C824AD"/>
    <w:rsid w:val="00C85203"/>
    <w:rsid w:val="00C85C90"/>
    <w:rsid w:val="00C952F8"/>
    <w:rsid w:val="00C9543D"/>
    <w:rsid w:val="00C95E26"/>
    <w:rsid w:val="00CA07C4"/>
    <w:rsid w:val="00CA3A4D"/>
    <w:rsid w:val="00CB1AB3"/>
    <w:rsid w:val="00CB31C3"/>
    <w:rsid w:val="00CB416E"/>
    <w:rsid w:val="00CB6C93"/>
    <w:rsid w:val="00CB72C1"/>
    <w:rsid w:val="00CB7E2A"/>
    <w:rsid w:val="00CC07E2"/>
    <w:rsid w:val="00CC24B9"/>
    <w:rsid w:val="00CC288C"/>
    <w:rsid w:val="00CC365D"/>
    <w:rsid w:val="00CC38E4"/>
    <w:rsid w:val="00CC7657"/>
    <w:rsid w:val="00CD0559"/>
    <w:rsid w:val="00CE0433"/>
    <w:rsid w:val="00CE1658"/>
    <w:rsid w:val="00CE2878"/>
    <w:rsid w:val="00CE2CB6"/>
    <w:rsid w:val="00CE2D28"/>
    <w:rsid w:val="00CE353F"/>
    <w:rsid w:val="00CE477F"/>
    <w:rsid w:val="00CE6168"/>
    <w:rsid w:val="00CF3C3E"/>
    <w:rsid w:val="00CF641E"/>
    <w:rsid w:val="00CF7C1C"/>
    <w:rsid w:val="00D016C0"/>
    <w:rsid w:val="00D018AF"/>
    <w:rsid w:val="00D0450C"/>
    <w:rsid w:val="00D052AE"/>
    <w:rsid w:val="00D07F63"/>
    <w:rsid w:val="00D16065"/>
    <w:rsid w:val="00D1696B"/>
    <w:rsid w:val="00D16BB5"/>
    <w:rsid w:val="00D201AD"/>
    <w:rsid w:val="00D24FF3"/>
    <w:rsid w:val="00D27663"/>
    <w:rsid w:val="00D278EE"/>
    <w:rsid w:val="00D324B2"/>
    <w:rsid w:val="00D32CD4"/>
    <w:rsid w:val="00D3307A"/>
    <w:rsid w:val="00D348AC"/>
    <w:rsid w:val="00D35018"/>
    <w:rsid w:val="00D35319"/>
    <w:rsid w:val="00D3536A"/>
    <w:rsid w:val="00D35D0D"/>
    <w:rsid w:val="00D42C13"/>
    <w:rsid w:val="00D445D5"/>
    <w:rsid w:val="00D47138"/>
    <w:rsid w:val="00D53735"/>
    <w:rsid w:val="00D53860"/>
    <w:rsid w:val="00D56D7A"/>
    <w:rsid w:val="00D612FF"/>
    <w:rsid w:val="00D61730"/>
    <w:rsid w:val="00D62AF2"/>
    <w:rsid w:val="00D62EC4"/>
    <w:rsid w:val="00D70280"/>
    <w:rsid w:val="00D70472"/>
    <w:rsid w:val="00D71038"/>
    <w:rsid w:val="00D73F26"/>
    <w:rsid w:val="00D742ED"/>
    <w:rsid w:val="00D74309"/>
    <w:rsid w:val="00D75F45"/>
    <w:rsid w:val="00D77C10"/>
    <w:rsid w:val="00D77C89"/>
    <w:rsid w:val="00D83F10"/>
    <w:rsid w:val="00D858F4"/>
    <w:rsid w:val="00D87C66"/>
    <w:rsid w:val="00D90D72"/>
    <w:rsid w:val="00D93AF4"/>
    <w:rsid w:val="00D95502"/>
    <w:rsid w:val="00D9583B"/>
    <w:rsid w:val="00D96BD4"/>
    <w:rsid w:val="00D97680"/>
    <w:rsid w:val="00DA0729"/>
    <w:rsid w:val="00DA093C"/>
    <w:rsid w:val="00DA3B0A"/>
    <w:rsid w:val="00DB07CC"/>
    <w:rsid w:val="00DB288B"/>
    <w:rsid w:val="00DB2FEC"/>
    <w:rsid w:val="00DB6E3E"/>
    <w:rsid w:val="00DB7183"/>
    <w:rsid w:val="00DB746B"/>
    <w:rsid w:val="00DC0680"/>
    <w:rsid w:val="00DC3D99"/>
    <w:rsid w:val="00DC44A2"/>
    <w:rsid w:val="00DC5EB8"/>
    <w:rsid w:val="00DD2A43"/>
    <w:rsid w:val="00DD2B08"/>
    <w:rsid w:val="00DD34A9"/>
    <w:rsid w:val="00DD3B96"/>
    <w:rsid w:val="00DD3BB8"/>
    <w:rsid w:val="00DD3D2E"/>
    <w:rsid w:val="00DD54DF"/>
    <w:rsid w:val="00DD7124"/>
    <w:rsid w:val="00DE0757"/>
    <w:rsid w:val="00DE1352"/>
    <w:rsid w:val="00DE24D0"/>
    <w:rsid w:val="00DE7861"/>
    <w:rsid w:val="00DE7ED8"/>
    <w:rsid w:val="00DF35E9"/>
    <w:rsid w:val="00DF3D94"/>
    <w:rsid w:val="00DF41BD"/>
    <w:rsid w:val="00DF5373"/>
    <w:rsid w:val="00E045EA"/>
    <w:rsid w:val="00E04CA7"/>
    <w:rsid w:val="00E05F82"/>
    <w:rsid w:val="00E062DA"/>
    <w:rsid w:val="00E1078E"/>
    <w:rsid w:val="00E10908"/>
    <w:rsid w:val="00E11914"/>
    <w:rsid w:val="00E14169"/>
    <w:rsid w:val="00E14D70"/>
    <w:rsid w:val="00E173D5"/>
    <w:rsid w:val="00E17554"/>
    <w:rsid w:val="00E2072C"/>
    <w:rsid w:val="00E22DD7"/>
    <w:rsid w:val="00E234A8"/>
    <w:rsid w:val="00E23C62"/>
    <w:rsid w:val="00E2525E"/>
    <w:rsid w:val="00E26048"/>
    <w:rsid w:val="00E26A1F"/>
    <w:rsid w:val="00E27ECE"/>
    <w:rsid w:val="00E30474"/>
    <w:rsid w:val="00E317C2"/>
    <w:rsid w:val="00E3344E"/>
    <w:rsid w:val="00E373FA"/>
    <w:rsid w:val="00E42286"/>
    <w:rsid w:val="00E433E5"/>
    <w:rsid w:val="00E46D8F"/>
    <w:rsid w:val="00E5216C"/>
    <w:rsid w:val="00E521EA"/>
    <w:rsid w:val="00E5291D"/>
    <w:rsid w:val="00E53133"/>
    <w:rsid w:val="00E7002F"/>
    <w:rsid w:val="00E7066C"/>
    <w:rsid w:val="00E72E2B"/>
    <w:rsid w:val="00E75B2E"/>
    <w:rsid w:val="00E77C4A"/>
    <w:rsid w:val="00E8249E"/>
    <w:rsid w:val="00E83F2C"/>
    <w:rsid w:val="00E87042"/>
    <w:rsid w:val="00E87F0F"/>
    <w:rsid w:val="00E92D70"/>
    <w:rsid w:val="00EA0AF2"/>
    <w:rsid w:val="00EA11D6"/>
    <w:rsid w:val="00EA2785"/>
    <w:rsid w:val="00EA3203"/>
    <w:rsid w:val="00EA3908"/>
    <w:rsid w:val="00EA48F1"/>
    <w:rsid w:val="00EA59D3"/>
    <w:rsid w:val="00EA6489"/>
    <w:rsid w:val="00EA75B6"/>
    <w:rsid w:val="00EB4B3C"/>
    <w:rsid w:val="00EB4F63"/>
    <w:rsid w:val="00EB526C"/>
    <w:rsid w:val="00EB537C"/>
    <w:rsid w:val="00EC160F"/>
    <w:rsid w:val="00EC2348"/>
    <w:rsid w:val="00EC49F9"/>
    <w:rsid w:val="00ED000A"/>
    <w:rsid w:val="00ED257C"/>
    <w:rsid w:val="00ED42F9"/>
    <w:rsid w:val="00ED4DB9"/>
    <w:rsid w:val="00ED74B8"/>
    <w:rsid w:val="00ED7CF5"/>
    <w:rsid w:val="00EE6DEA"/>
    <w:rsid w:val="00EF21A8"/>
    <w:rsid w:val="00F02439"/>
    <w:rsid w:val="00F02B6B"/>
    <w:rsid w:val="00F02FDB"/>
    <w:rsid w:val="00F03CFB"/>
    <w:rsid w:val="00F05B0E"/>
    <w:rsid w:val="00F077E3"/>
    <w:rsid w:val="00F11176"/>
    <w:rsid w:val="00F112AE"/>
    <w:rsid w:val="00F11461"/>
    <w:rsid w:val="00F12754"/>
    <w:rsid w:val="00F15A68"/>
    <w:rsid w:val="00F1601D"/>
    <w:rsid w:val="00F17CCE"/>
    <w:rsid w:val="00F20675"/>
    <w:rsid w:val="00F21869"/>
    <w:rsid w:val="00F22D30"/>
    <w:rsid w:val="00F237B8"/>
    <w:rsid w:val="00F33536"/>
    <w:rsid w:val="00F34137"/>
    <w:rsid w:val="00F40761"/>
    <w:rsid w:val="00F40D9B"/>
    <w:rsid w:val="00F41CD0"/>
    <w:rsid w:val="00F44DB1"/>
    <w:rsid w:val="00F56172"/>
    <w:rsid w:val="00F56679"/>
    <w:rsid w:val="00F57B0E"/>
    <w:rsid w:val="00F662E2"/>
    <w:rsid w:val="00F70953"/>
    <w:rsid w:val="00F709AF"/>
    <w:rsid w:val="00F77BBA"/>
    <w:rsid w:val="00F8004F"/>
    <w:rsid w:val="00F80471"/>
    <w:rsid w:val="00F80688"/>
    <w:rsid w:val="00F817F2"/>
    <w:rsid w:val="00F8186E"/>
    <w:rsid w:val="00F8187E"/>
    <w:rsid w:val="00F81E87"/>
    <w:rsid w:val="00F84883"/>
    <w:rsid w:val="00F855D5"/>
    <w:rsid w:val="00F91C7E"/>
    <w:rsid w:val="00F95E22"/>
    <w:rsid w:val="00F95E90"/>
    <w:rsid w:val="00F979CE"/>
    <w:rsid w:val="00FA3ACA"/>
    <w:rsid w:val="00FA54A3"/>
    <w:rsid w:val="00FA7109"/>
    <w:rsid w:val="00FB23E3"/>
    <w:rsid w:val="00FB5366"/>
    <w:rsid w:val="00FB5CE3"/>
    <w:rsid w:val="00FB69AC"/>
    <w:rsid w:val="00FB6FD7"/>
    <w:rsid w:val="00FC33CC"/>
    <w:rsid w:val="00FC39A8"/>
    <w:rsid w:val="00FC7CC9"/>
    <w:rsid w:val="00FC7CCB"/>
    <w:rsid w:val="00FD0ECD"/>
    <w:rsid w:val="00FD2DDA"/>
    <w:rsid w:val="00FD443F"/>
    <w:rsid w:val="00FD5141"/>
    <w:rsid w:val="00FE1950"/>
    <w:rsid w:val="00FE2554"/>
    <w:rsid w:val="00FE640A"/>
    <w:rsid w:val="00FE7629"/>
    <w:rsid w:val="00FF03B0"/>
    <w:rsid w:val="00FF1426"/>
    <w:rsid w:val="00FF2259"/>
    <w:rsid w:val="00FF276E"/>
    <w:rsid w:val="00FF4157"/>
    <w:rsid w:val="00FF65E4"/>
    <w:rsid w:val="00FF7B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8AA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99"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A86"/>
    <w:rPr>
      <w:rFonts w:ascii="Arial" w:hAnsi="Arial"/>
      <w:sz w:val="24"/>
      <w:szCs w:val="24"/>
      <w:lang w:val="pt-PT"/>
    </w:rPr>
  </w:style>
  <w:style w:type="paragraph" w:styleId="Heading1">
    <w:name w:val="heading 1"/>
    <w:aliases w:val="Título de seção"/>
    <w:basedOn w:val="Normal"/>
    <w:next w:val="Normal"/>
    <w:link w:val="Heading1Char"/>
    <w:qFormat/>
    <w:rsid w:val="007B1B5E"/>
    <w:pPr>
      <w:keepNext/>
      <w:spacing w:before="120"/>
      <w:outlineLvl w:val="0"/>
    </w:pPr>
    <w:rPr>
      <w:b/>
      <w:bCs/>
      <w:szCs w:val="20"/>
      <w:lang w:val="pt-BR"/>
    </w:rPr>
  </w:style>
  <w:style w:type="paragraph" w:styleId="Heading2">
    <w:name w:val="heading 2"/>
    <w:basedOn w:val="Normal"/>
    <w:next w:val="Normal"/>
    <w:link w:val="Heading2Char"/>
    <w:qFormat/>
    <w:rsid w:val="00B519E9"/>
    <w:pPr>
      <w:keepNext/>
      <w:spacing w:after="120"/>
      <w:outlineLvl w:val="1"/>
    </w:pPr>
    <w:rPr>
      <w:b/>
      <w:bCs/>
      <w:szCs w:val="20"/>
      <w:lang w:val="pt-BR"/>
    </w:rPr>
  </w:style>
  <w:style w:type="paragraph" w:styleId="Heading3">
    <w:name w:val="heading 3"/>
    <w:basedOn w:val="Normal"/>
    <w:next w:val="Normal"/>
    <w:link w:val="Heading3Char"/>
    <w:qFormat/>
    <w:rsid w:val="00B519E9"/>
    <w:pPr>
      <w:keepNext/>
      <w:outlineLvl w:val="2"/>
    </w:pPr>
    <w:rPr>
      <w:b/>
      <w:bCs/>
      <w:szCs w:val="20"/>
      <w:lang w:val="it-IT"/>
    </w:rPr>
  </w:style>
  <w:style w:type="paragraph" w:styleId="Heading4">
    <w:name w:val="heading 4"/>
    <w:basedOn w:val="Normal"/>
    <w:next w:val="Normal"/>
    <w:qFormat/>
    <w:rsid w:val="00B519E9"/>
    <w:pPr>
      <w:keepNext/>
      <w:outlineLvl w:val="3"/>
    </w:pPr>
    <w:rPr>
      <w:b/>
      <w:color w:val="000000"/>
    </w:rPr>
  </w:style>
  <w:style w:type="paragraph" w:styleId="Heading5">
    <w:name w:val="heading 5"/>
    <w:basedOn w:val="Normal"/>
    <w:next w:val="Normal"/>
    <w:qFormat/>
    <w:rsid w:val="00B519E9"/>
    <w:pPr>
      <w:outlineLvl w:val="4"/>
    </w:pPr>
    <w:rPr>
      <w:b/>
      <w:bCs/>
      <w:iCs/>
      <w:szCs w:val="26"/>
    </w:rPr>
  </w:style>
  <w:style w:type="paragraph" w:styleId="Heading6">
    <w:name w:val="heading 6"/>
    <w:basedOn w:val="Normal"/>
    <w:next w:val="Normal"/>
    <w:qFormat/>
    <w:rsid w:val="00B519E9"/>
    <w:pPr>
      <w:outlineLvl w:val="5"/>
    </w:pPr>
    <w:rPr>
      <w:b/>
      <w:bCs/>
      <w:szCs w:val="22"/>
    </w:rPr>
  </w:style>
  <w:style w:type="paragraph" w:styleId="Heading7">
    <w:name w:val="heading 7"/>
    <w:basedOn w:val="Normal"/>
    <w:next w:val="Normal"/>
    <w:qFormat/>
    <w:rsid w:val="00B519E9"/>
    <w:pPr>
      <w:keepNext/>
      <w:spacing w:before="60" w:after="60"/>
      <w:jc w:val="center"/>
      <w:outlineLvl w:val="6"/>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ListBullet"/>
    <w:rsid w:val="00B519E9"/>
    <w:pPr>
      <w:widowControl w:val="0"/>
      <w:numPr>
        <w:numId w:val="1"/>
      </w:numPr>
      <w:tabs>
        <w:tab w:val="clear" w:pos="1428"/>
        <w:tab w:val="num" w:pos="284"/>
        <w:tab w:val="num" w:pos="360"/>
      </w:tabs>
      <w:spacing w:before="60" w:after="240"/>
      <w:ind w:left="284" w:hanging="284"/>
      <w:contextualSpacing/>
    </w:pPr>
    <w:rPr>
      <w:bCs/>
      <w:szCs w:val="20"/>
      <w:lang w:val="pt-BR"/>
    </w:rPr>
  </w:style>
  <w:style w:type="paragraph" w:styleId="ListBullet">
    <w:name w:val="List Bullet"/>
    <w:basedOn w:val="Normal"/>
    <w:autoRedefine/>
    <w:rsid w:val="00B519E9"/>
    <w:pPr>
      <w:tabs>
        <w:tab w:val="num" w:pos="360"/>
      </w:tabs>
      <w:ind w:left="360" w:hanging="360"/>
    </w:pPr>
  </w:style>
  <w:style w:type="paragraph" w:styleId="HTMLPreformatted">
    <w:name w:val="HTML Preformatted"/>
    <w:basedOn w:val="Normal"/>
    <w:link w:val="HTMLPreformattedChar"/>
    <w:uiPriority w:val="99"/>
    <w:rsid w:val="00B519E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665C"/>
    <w:rPr>
      <w:rFonts w:ascii="Courier New" w:hAnsi="Courier New" w:cs="Courier New"/>
      <w:lang w:val="pt-PT"/>
    </w:rPr>
  </w:style>
  <w:style w:type="paragraph" w:styleId="Bibliography">
    <w:name w:val="Bibliography"/>
    <w:basedOn w:val="BodyText"/>
    <w:rsid w:val="00B519E9"/>
    <w:pPr>
      <w:ind w:firstLine="0"/>
    </w:pPr>
    <w:rPr>
      <w:sz w:val="20"/>
      <w:szCs w:val="18"/>
    </w:rPr>
  </w:style>
  <w:style w:type="paragraph" w:styleId="BodyText">
    <w:name w:val="Body Text"/>
    <w:basedOn w:val="Normal"/>
    <w:rsid w:val="00B519E9"/>
    <w:pPr>
      <w:widowControl w:val="0"/>
      <w:spacing w:after="120"/>
      <w:ind w:firstLine="708"/>
    </w:pPr>
    <w:rPr>
      <w:szCs w:val="20"/>
      <w:lang w:val="it-IT"/>
    </w:rPr>
  </w:style>
  <w:style w:type="paragraph" w:styleId="Header">
    <w:name w:val="header"/>
    <w:basedOn w:val="Normal"/>
    <w:link w:val="HeaderChar"/>
    <w:uiPriority w:val="99"/>
    <w:rsid w:val="00B519E9"/>
    <w:pPr>
      <w:tabs>
        <w:tab w:val="center" w:pos="4320"/>
        <w:tab w:val="right" w:pos="8640"/>
      </w:tabs>
      <w:jc w:val="right"/>
    </w:pPr>
    <w:rPr>
      <w:sz w:val="18"/>
    </w:rPr>
  </w:style>
  <w:style w:type="character" w:customStyle="1" w:styleId="HeaderChar">
    <w:name w:val="Header Char"/>
    <w:basedOn w:val="DefaultParagraphFont"/>
    <w:link w:val="Header"/>
    <w:uiPriority w:val="99"/>
    <w:rsid w:val="00A7665C"/>
    <w:rPr>
      <w:rFonts w:ascii="Arial" w:hAnsi="Arial"/>
      <w:sz w:val="18"/>
      <w:szCs w:val="24"/>
      <w:lang w:val="pt-PT"/>
    </w:rPr>
  </w:style>
  <w:style w:type="paragraph" w:styleId="Footer">
    <w:name w:val="footer"/>
    <w:basedOn w:val="Normal"/>
    <w:link w:val="FooterChar"/>
    <w:uiPriority w:val="99"/>
    <w:rsid w:val="00B519E9"/>
    <w:pPr>
      <w:tabs>
        <w:tab w:val="center" w:pos="4419"/>
        <w:tab w:val="right" w:pos="8838"/>
      </w:tabs>
    </w:pPr>
  </w:style>
  <w:style w:type="character" w:customStyle="1" w:styleId="FooterChar">
    <w:name w:val="Footer Char"/>
    <w:basedOn w:val="DefaultParagraphFont"/>
    <w:link w:val="Footer"/>
    <w:uiPriority w:val="99"/>
    <w:rsid w:val="00017474"/>
    <w:rPr>
      <w:sz w:val="24"/>
      <w:szCs w:val="24"/>
      <w:lang w:val="pt-PT"/>
    </w:rPr>
  </w:style>
  <w:style w:type="character" w:styleId="PageNumber">
    <w:name w:val="page number"/>
    <w:rsid w:val="00B519E9"/>
    <w:rPr>
      <w:rFonts w:ascii="Arial" w:hAnsi="Arial" w:cs="Arial"/>
      <w:sz w:val="16"/>
    </w:rPr>
  </w:style>
  <w:style w:type="paragraph" w:styleId="Caption">
    <w:name w:val="caption"/>
    <w:basedOn w:val="Normal"/>
    <w:next w:val="Normal"/>
    <w:qFormat/>
    <w:rsid w:val="00B519E9"/>
    <w:rPr>
      <w:sz w:val="20"/>
      <w:szCs w:val="20"/>
      <w:lang w:val="it-IT"/>
    </w:rPr>
  </w:style>
  <w:style w:type="character" w:styleId="Hyperlink">
    <w:name w:val="Hyperlink"/>
    <w:uiPriority w:val="99"/>
    <w:rsid w:val="00B519E9"/>
    <w:rPr>
      <w:color w:val="0000FF"/>
      <w:u w:val="single"/>
    </w:rPr>
  </w:style>
  <w:style w:type="paragraph" w:customStyle="1" w:styleId="Textodebalo1">
    <w:name w:val="Texto de balão1"/>
    <w:basedOn w:val="Normal"/>
    <w:semiHidden/>
    <w:rsid w:val="00B519E9"/>
    <w:rPr>
      <w:rFonts w:ascii="Tahoma" w:hAnsi="Tahoma" w:cs="Tahoma"/>
      <w:sz w:val="16"/>
      <w:szCs w:val="16"/>
    </w:rPr>
  </w:style>
  <w:style w:type="paragraph" w:styleId="Title">
    <w:name w:val="Title"/>
    <w:basedOn w:val="Normal"/>
    <w:link w:val="TitleChar"/>
    <w:qFormat/>
    <w:rsid w:val="00B519E9"/>
    <w:pPr>
      <w:jc w:val="center"/>
      <w:outlineLvl w:val="0"/>
    </w:pPr>
    <w:rPr>
      <w:rFonts w:cs="Arial"/>
      <w:b/>
      <w:bCs/>
      <w:kern w:val="28"/>
      <w:sz w:val="30"/>
      <w:szCs w:val="32"/>
    </w:rPr>
  </w:style>
  <w:style w:type="paragraph" w:customStyle="1" w:styleId="Resumo">
    <w:name w:val="Resumo"/>
    <w:basedOn w:val="Normal"/>
    <w:link w:val="ResumoChar"/>
    <w:qFormat/>
    <w:rsid w:val="00B519E9"/>
    <w:pPr>
      <w:spacing w:before="360"/>
    </w:pPr>
    <w:rPr>
      <w:b/>
      <w:bCs/>
      <w:i/>
      <w:iCs/>
    </w:rPr>
  </w:style>
  <w:style w:type="paragraph" w:customStyle="1" w:styleId="Autores">
    <w:name w:val="Autores"/>
    <w:basedOn w:val="Normal"/>
    <w:link w:val="AutoresChar"/>
    <w:qFormat/>
    <w:rsid w:val="00B519E9"/>
    <w:pPr>
      <w:spacing w:after="120"/>
      <w:jc w:val="center"/>
    </w:pPr>
    <w:rPr>
      <w:b/>
      <w:bCs/>
      <w:sz w:val="20"/>
      <w:lang w:val="pt-BR"/>
    </w:rPr>
  </w:style>
  <w:style w:type="paragraph" w:styleId="NormalWeb">
    <w:name w:val="Normal (Web)"/>
    <w:basedOn w:val="Normal"/>
    <w:uiPriority w:val="99"/>
    <w:rsid w:val="00B519E9"/>
    <w:pPr>
      <w:spacing w:before="100" w:beforeAutospacing="1" w:after="100" w:afterAutospacing="1"/>
    </w:pPr>
    <w:rPr>
      <w:rFonts w:ascii="tahoma, verdana, arial" w:hAnsi="tahoma, verdana, arial"/>
      <w:color w:val="000000"/>
      <w:sz w:val="16"/>
      <w:szCs w:val="16"/>
      <w:lang w:val="pt-BR"/>
    </w:rPr>
  </w:style>
  <w:style w:type="paragraph" w:styleId="BodyText2">
    <w:name w:val="Body Text 2"/>
    <w:basedOn w:val="Normal"/>
    <w:rsid w:val="00B519E9"/>
    <w:pPr>
      <w:spacing w:after="120"/>
    </w:pPr>
  </w:style>
  <w:style w:type="paragraph" w:styleId="BodyTextIndent">
    <w:name w:val="Body Text Indent"/>
    <w:basedOn w:val="Normal"/>
    <w:rsid w:val="00B519E9"/>
    <w:pPr>
      <w:spacing w:after="120"/>
    </w:pPr>
  </w:style>
  <w:style w:type="character" w:styleId="FollowedHyperlink">
    <w:name w:val="FollowedHyperlink"/>
    <w:rsid w:val="00B519E9"/>
    <w:rPr>
      <w:color w:val="800080"/>
      <w:u w:val="single"/>
    </w:rPr>
  </w:style>
  <w:style w:type="paragraph" w:styleId="BodyText3">
    <w:name w:val="Body Text 3"/>
    <w:basedOn w:val="Normal"/>
    <w:rsid w:val="00B519E9"/>
    <w:pPr>
      <w:spacing w:after="120"/>
    </w:pPr>
    <w:rPr>
      <w:szCs w:val="16"/>
    </w:rPr>
  </w:style>
  <w:style w:type="paragraph" w:styleId="BodyTextFirstIndent">
    <w:name w:val="Body Text First Indent"/>
    <w:basedOn w:val="BodyTextFirstIndent2"/>
    <w:rsid w:val="00B519E9"/>
  </w:style>
  <w:style w:type="paragraph" w:styleId="BodyTextFirstIndent2">
    <w:name w:val="Body Text First Indent 2"/>
    <w:basedOn w:val="BodyTextIndent"/>
    <w:rsid w:val="00B519E9"/>
  </w:style>
  <w:style w:type="paragraph" w:styleId="BodyTextIndent2">
    <w:name w:val="Body Text Indent 2"/>
    <w:basedOn w:val="Normal"/>
    <w:rsid w:val="00B519E9"/>
    <w:pPr>
      <w:spacing w:after="120"/>
    </w:pPr>
  </w:style>
  <w:style w:type="paragraph" w:styleId="BodyTextIndent3">
    <w:name w:val="Body Text Indent 3"/>
    <w:basedOn w:val="Normal"/>
    <w:rsid w:val="00B519E9"/>
    <w:pPr>
      <w:spacing w:after="120"/>
    </w:pPr>
    <w:rPr>
      <w:szCs w:val="16"/>
    </w:rPr>
  </w:style>
  <w:style w:type="paragraph" w:styleId="DocumentMap">
    <w:name w:val="Document Map"/>
    <w:basedOn w:val="Normal"/>
    <w:semiHidden/>
    <w:rsid w:val="00B519E9"/>
    <w:pPr>
      <w:shd w:val="clear" w:color="auto" w:fill="000080"/>
    </w:pPr>
    <w:rPr>
      <w:rFonts w:ascii="Tahoma" w:hAnsi="Tahoma" w:cs="Tahoma"/>
    </w:rPr>
  </w:style>
  <w:style w:type="paragraph" w:customStyle="1" w:styleId="Figura">
    <w:name w:val="Figura"/>
    <w:basedOn w:val="BodyText"/>
    <w:next w:val="Caption"/>
    <w:rsid w:val="00B519E9"/>
    <w:pPr>
      <w:spacing w:before="240" w:after="0"/>
      <w:jc w:val="center"/>
    </w:pPr>
  </w:style>
  <w:style w:type="paragraph" w:customStyle="1" w:styleId="Alnea">
    <w:name w:val="Alínea"/>
    <w:basedOn w:val="ListNumber"/>
    <w:rsid w:val="00B519E9"/>
    <w:pPr>
      <w:tabs>
        <w:tab w:val="num" w:pos="360"/>
      </w:tabs>
      <w:spacing w:before="60" w:after="240"/>
      <w:ind w:left="357" w:hanging="357"/>
      <w:contextualSpacing/>
    </w:pPr>
  </w:style>
  <w:style w:type="paragraph" w:styleId="ListNumber">
    <w:name w:val="List Number"/>
    <w:basedOn w:val="Normal"/>
    <w:rsid w:val="00B519E9"/>
  </w:style>
  <w:style w:type="paragraph" w:customStyle="1" w:styleId="Referencestext">
    <w:name w:val="References text"/>
    <w:basedOn w:val="Normal"/>
    <w:rsid w:val="00B519E9"/>
    <w:pPr>
      <w:spacing w:before="120" w:line="240" w:lineRule="exact"/>
    </w:pPr>
    <w:rPr>
      <w:sz w:val="20"/>
      <w:lang w:val="en-GB" w:eastAsia="it-IT"/>
    </w:rPr>
  </w:style>
  <w:style w:type="paragraph" w:customStyle="1" w:styleId="TabelaCabealho">
    <w:name w:val="Tabela Cabeçalho"/>
    <w:basedOn w:val="BodyText"/>
    <w:rsid w:val="00B519E9"/>
    <w:pPr>
      <w:spacing w:after="0"/>
      <w:jc w:val="center"/>
    </w:pPr>
    <w:rPr>
      <w:b/>
      <w:sz w:val="20"/>
    </w:rPr>
  </w:style>
  <w:style w:type="paragraph" w:customStyle="1" w:styleId="TabelaCorpo">
    <w:name w:val="Tabela Corpo"/>
    <w:basedOn w:val="TabelaCabealho"/>
    <w:rsid w:val="00B519E9"/>
    <w:pPr>
      <w:ind w:left="317" w:hanging="317"/>
      <w:jc w:val="both"/>
    </w:pPr>
    <w:rPr>
      <w:b w:val="0"/>
    </w:rPr>
  </w:style>
  <w:style w:type="paragraph" w:customStyle="1" w:styleId="TabelaEspaamento">
    <w:name w:val="Tabela Espaçamento"/>
    <w:basedOn w:val="TabelaCabealho"/>
    <w:rsid w:val="00B519E9"/>
    <w:rPr>
      <w:sz w:val="12"/>
      <w:szCs w:val="12"/>
    </w:rPr>
  </w:style>
  <w:style w:type="paragraph" w:customStyle="1" w:styleId="Palavras-chave">
    <w:name w:val="Palavras-chave"/>
    <w:basedOn w:val="Resumo"/>
    <w:next w:val="Heading2"/>
    <w:rsid w:val="00B519E9"/>
    <w:pPr>
      <w:spacing w:before="0" w:after="480"/>
    </w:pPr>
    <w:rPr>
      <w:b w:val="0"/>
      <w:bCs w:val="0"/>
      <w:lang w:val="pt-BR"/>
    </w:rPr>
  </w:style>
  <w:style w:type="paragraph" w:customStyle="1" w:styleId="subtitulo2">
    <w:name w:val="subtitulo2"/>
    <w:basedOn w:val="Normal"/>
    <w:rsid w:val="00B519E9"/>
    <w:pPr>
      <w:spacing w:before="100" w:beforeAutospacing="1" w:after="100" w:afterAutospacing="1"/>
    </w:pPr>
    <w:rPr>
      <w:rFonts w:eastAsia="Arial Unicode MS"/>
      <w:b/>
      <w:bCs/>
      <w:color w:val="000000"/>
      <w:lang w:val="pt-BR"/>
    </w:rPr>
  </w:style>
  <w:style w:type="character" w:styleId="Strong">
    <w:name w:val="Strong"/>
    <w:uiPriority w:val="22"/>
    <w:qFormat/>
    <w:rsid w:val="00B519E9"/>
    <w:rPr>
      <w:b/>
      <w:bCs/>
    </w:rPr>
  </w:style>
  <w:style w:type="character" w:customStyle="1" w:styleId="Corpodetexto1">
    <w:name w:val="Corpo de texto1"/>
    <w:rsid w:val="00B519E9"/>
    <w:rPr>
      <w:rFonts w:ascii="Arial" w:hAnsi="Arial"/>
      <w:sz w:val="24"/>
      <w:szCs w:val="24"/>
      <w:lang w:val="pt-BR" w:eastAsia="pt-BR" w:bidi="ar-SA"/>
    </w:rPr>
  </w:style>
  <w:style w:type="paragraph" w:styleId="BalloonText">
    <w:name w:val="Balloon Text"/>
    <w:basedOn w:val="Normal"/>
    <w:link w:val="BalloonTextChar"/>
    <w:uiPriority w:val="99"/>
    <w:rsid w:val="00B519E9"/>
    <w:rPr>
      <w:rFonts w:ascii="Tahoma" w:hAnsi="Tahoma" w:cs="Tahoma"/>
      <w:sz w:val="16"/>
      <w:szCs w:val="16"/>
    </w:rPr>
  </w:style>
  <w:style w:type="character" w:customStyle="1" w:styleId="BalloonTextChar">
    <w:name w:val="Balloon Text Char"/>
    <w:basedOn w:val="DefaultParagraphFont"/>
    <w:link w:val="BalloonText"/>
    <w:uiPriority w:val="99"/>
    <w:rsid w:val="00A7665C"/>
    <w:rPr>
      <w:rFonts w:ascii="Tahoma" w:hAnsi="Tahoma" w:cs="Tahoma"/>
      <w:sz w:val="16"/>
      <w:szCs w:val="16"/>
      <w:lang w:val="pt-PT"/>
    </w:rPr>
  </w:style>
  <w:style w:type="table" w:styleId="LightShading-Accent3">
    <w:name w:val="Light Shading Accent 3"/>
    <w:basedOn w:val="TableNormal"/>
    <w:uiPriority w:val="60"/>
    <w:rsid w:val="003B797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PlaceholderText">
    <w:name w:val="Placeholder Text"/>
    <w:basedOn w:val="DefaultParagraphFont"/>
    <w:uiPriority w:val="99"/>
    <w:semiHidden/>
    <w:rsid w:val="00C824AD"/>
    <w:rPr>
      <w:color w:val="808080"/>
    </w:rPr>
  </w:style>
  <w:style w:type="paragraph" w:customStyle="1" w:styleId="SemEspaamento1">
    <w:name w:val="Sem Espaçamento1"/>
    <w:uiPriority w:val="1"/>
    <w:qFormat/>
    <w:rsid w:val="002D271F"/>
    <w:pPr>
      <w:suppressAutoHyphens/>
      <w:spacing w:line="360" w:lineRule="auto"/>
      <w:jc w:val="both"/>
    </w:pPr>
    <w:rPr>
      <w:lang w:eastAsia="ar-SA"/>
    </w:rPr>
  </w:style>
  <w:style w:type="character" w:customStyle="1" w:styleId="apple-converted-space">
    <w:name w:val="apple-converted-space"/>
    <w:basedOn w:val="DefaultParagraphFont"/>
    <w:rsid w:val="007E69CE"/>
  </w:style>
  <w:style w:type="paragraph" w:styleId="ListParagraph">
    <w:name w:val="List Paragraph"/>
    <w:basedOn w:val="Normal"/>
    <w:uiPriority w:val="34"/>
    <w:qFormat/>
    <w:rsid w:val="009367B7"/>
    <w:pPr>
      <w:ind w:left="720"/>
      <w:contextualSpacing/>
    </w:pPr>
  </w:style>
  <w:style w:type="table" w:styleId="TableGrid">
    <w:name w:val="Table Grid"/>
    <w:basedOn w:val="TableNormal"/>
    <w:uiPriority w:val="99"/>
    <w:rsid w:val="00BE710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A7665C"/>
  </w:style>
  <w:style w:type="paragraph" w:customStyle="1" w:styleId="DecimalAligned">
    <w:name w:val="Decimal Aligned"/>
    <w:basedOn w:val="Normal"/>
    <w:uiPriority w:val="40"/>
    <w:qFormat/>
    <w:rsid w:val="00A7665C"/>
    <w:pPr>
      <w:tabs>
        <w:tab w:val="decimal" w:pos="360"/>
      </w:tabs>
      <w:spacing w:after="200" w:line="276" w:lineRule="auto"/>
    </w:pPr>
    <w:rPr>
      <w:rFonts w:asciiTheme="minorHAnsi" w:eastAsiaTheme="minorEastAsia" w:hAnsiTheme="minorHAnsi"/>
      <w:sz w:val="22"/>
      <w:szCs w:val="22"/>
      <w:lang w:val="en-US" w:eastAsia="en-US"/>
    </w:rPr>
  </w:style>
  <w:style w:type="paragraph" w:styleId="FootnoteText">
    <w:name w:val="footnote text"/>
    <w:aliases w:val="Nota de rodapé"/>
    <w:basedOn w:val="Normal"/>
    <w:link w:val="FootnoteTextChar"/>
    <w:uiPriority w:val="99"/>
    <w:unhideWhenUsed/>
    <w:qFormat/>
    <w:rsid w:val="00A7665C"/>
    <w:rPr>
      <w:rFonts w:asciiTheme="minorHAnsi" w:eastAsiaTheme="minorEastAsia" w:hAnsiTheme="minorHAnsi"/>
      <w:sz w:val="20"/>
      <w:szCs w:val="20"/>
      <w:lang w:val="en-US" w:eastAsia="en-US"/>
    </w:rPr>
  </w:style>
  <w:style w:type="character" w:customStyle="1" w:styleId="FootnoteTextChar">
    <w:name w:val="Footnote Text Char"/>
    <w:aliases w:val="Nota de rodapé Char"/>
    <w:basedOn w:val="DefaultParagraphFont"/>
    <w:link w:val="FootnoteText"/>
    <w:uiPriority w:val="99"/>
    <w:rsid w:val="00A7665C"/>
    <w:rPr>
      <w:rFonts w:asciiTheme="minorHAnsi" w:eastAsiaTheme="minorEastAsia" w:hAnsiTheme="minorHAnsi"/>
      <w:lang w:val="en-US" w:eastAsia="en-US"/>
    </w:rPr>
  </w:style>
  <w:style w:type="character" w:styleId="SubtleEmphasis">
    <w:name w:val="Subtle Emphasis"/>
    <w:basedOn w:val="DefaultParagraphFont"/>
    <w:uiPriority w:val="19"/>
    <w:qFormat/>
    <w:rsid w:val="00A7665C"/>
    <w:rPr>
      <w:i/>
      <w:iCs/>
    </w:rPr>
  </w:style>
  <w:style w:type="table" w:customStyle="1" w:styleId="SombreamentoClaro-nfase11">
    <w:name w:val="Sombreamento Claro - Ênfase 11"/>
    <w:basedOn w:val="TableGrid2"/>
    <w:uiPriority w:val="60"/>
    <w:rsid w:val="00A7665C"/>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A7665C"/>
    <w:pPr>
      <w:spacing w:after="160" w:line="259" w:lineRule="auto"/>
    </w:pPr>
    <w:rPr>
      <w:rFonts w:asciiTheme="minorHAnsi" w:eastAsia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dTable21">
    <w:name w:val="Grid Table 21"/>
    <w:basedOn w:val="TableNormal"/>
    <w:uiPriority w:val="47"/>
    <w:rsid w:val="00A7665C"/>
    <w:rPr>
      <w:rFonts w:asciiTheme="minorHAnsi" w:eastAsia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A7665C"/>
    <w:pPr>
      <w:autoSpaceDE w:val="0"/>
      <w:autoSpaceDN w:val="0"/>
      <w:adjustRightInd w:val="0"/>
    </w:pPr>
    <w:rPr>
      <w:rFonts w:eastAsiaTheme="minorHAnsi"/>
      <w:color w:val="000000"/>
      <w:sz w:val="24"/>
      <w:szCs w:val="24"/>
      <w:lang w:eastAsia="en-US"/>
    </w:rPr>
  </w:style>
  <w:style w:type="table" w:customStyle="1" w:styleId="TabeladeGrade21">
    <w:name w:val="Tabela de Grade 21"/>
    <w:basedOn w:val="TableNormal"/>
    <w:uiPriority w:val="47"/>
    <w:rsid w:val="00A7665C"/>
    <w:rPr>
      <w:rFonts w:asciiTheme="minorHAnsi" w:eastAsia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unhideWhenUsed/>
    <w:rsid w:val="00A7665C"/>
    <w:rPr>
      <w:sz w:val="16"/>
      <w:szCs w:val="16"/>
    </w:rPr>
  </w:style>
  <w:style w:type="paragraph" w:styleId="CommentText">
    <w:name w:val="annotation text"/>
    <w:basedOn w:val="Normal"/>
    <w:link w:val="CommentTextChar"/>
    <w:uiPriority w:val="99"/>
    <w:unhideWhenUsed/>
    <w:rsid w:val="00A7665C"/>
    <w:pPr>
      <w:spacing w:after="160"/>
    </w:pPr>
    <w:rPr>
      <w:rFonts w:asciiTheme="minorHAnsi" w:eastAsiaTheme="minorHAnsi" w:hAnsiTheme="minorHAnsi" w:cstheme="minorBidi"/>
      <w:sz w:val="20"/>
      <w:szCs w:val="20"/>
      <w:lang w:val="pt-BR" w:eastAsia="en-US"/>
    </w:rPr>
  </w:style>
  <w:style w:type="character" w:customStyle="1" w:styleId="CommentTextChar">
    <w:name w:val="Comment Text Char"/>
    <w:basedOn w:val="DefaultParagraphFont"/>
    <w:link w:val="CommentText"/>
    <w:uiPriority w:val="99"/>
    <w:rsid w:val="00A7665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A7665C"/>
    <w:rPr>
      <w:b/>
      <w:bCs/>
    </w:rPr>
  </w:style>
  <w:style w:type="character" w:customStyle="1" w:styleId="CommentSubjectChar">
    <w:name w:val="Comment Subject Char"/>
    <w:basedOn w:val="CommentTextChar"/>
    <w:link w:val="CommentSubject"/>
    <w:uiPriority w:val="99"/>
    <w:rsid w:val="00A7665C"/>
    <w:rPr>
      <w:rFonts w:asciiTheme="minorHAnsi" w:eastAsiaTheme="minorHAnsi" w:hAnsiTheme="minorHAnsi" w:cstheme="minorBidi"/>
      <w:b/>
      <w:bCs/>
      <w:lang w:eastAsia="en-US"/>
    </w:rPr>
  </w:style>
  <w:style w:type="character" w:customStyle="1" w:styleId="normaltextrun">
    <w:name w:val="normaltextrun"/>
    <w:basedOn w:val="DefaultParagraphFont"/>
    <w:rsid w:val="00A7665C"/>
  </w:style>
  <w:style w:type="paragraph" w:customStyle="1" w:styleId="commentcontentpara">
    <w:name w:val="commentcontentpara"/>
    <w:basedOn w:val="Normal"/>
    <w:rsid w:val="00A7665C"/>
    <w:pPr>
      <w:spacing w:before="100" w:beforeAutospacing="1" w:after="100" w:afterAutospacing="1"/>
    </w:pPr>
    <w:rPr>
      <w:lang w:val="pt-BR"/>
    </w:rPr>
  </w:style>
  <w:style w:type="character" w:styleId="Emphasis">
    <w:name w:val="Emphasis"/>
    <w:basedOn w:val="DefaultParagraphFont"/>
    <w:uiPriority w:val="20"/>
    <w:qFormat/>
    <w:rsid w:val="00A7665C"/>
    <w:rPr>
      <w:i/>
      <w:iCs/>
    </w:rPr>
  </w:style>
  <w:style w:type="paragraph" w:styleId="NoSpacing">
    <w:name w:val="No Spacing"/>
    <w:uiPriority w:val="1"/>
    <w:qFormat/>
    <w:rsid w:val="00A7665C"/>
    <w:rPr>
      <w:rFonts w:asciiTheme="minorHAnsi" w:eastAsiaTheme="minorHAnsi" w:hAnsiTheme="minorHAnsi" w:cstheme="minorBidi"/>
      <w:sz w:val="22"/>
      <w:szCs w:val="22"/>
      <w:lang w:eastAsia="en-US"/>
    </w:rPr>
  </w:style>
  <w:style w:type="table" w:customStyle="1" w:styleId="TabeladeLista7Colorida1">
    <w:name w:val="Tabela de Lista 7 Colorida1"/>
    <w:basedOn w:val="TableNormal"/>
    <w:uiPriority w:val="52"/>
    <w:rsid w:val="003444C7"/>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aliases w:val="Título de seção Char"/>
    <w:basedOn w:val="DefaultParagraphFont"/>
    <w:link w:val="Heading1"/>
    <w:uiPriority w:val="9"/>
    <w:rsid w:val="007B1B5E"/>
    <w:rPr>
      <w:rFonts w:ascii="Arial" w:hAnsi="Arial"/>
      <w:b/>
      <w:bCs/>
      <w:sz w:val="24"/>
    </w:rPr>
  </w:style>
  <w:style w:type="character" w:customStyle="1" w:styleId="Heading2Char">
    <w:name w:val="Heading 2 Char"/>
    <w:basedOn w:val="DefaultParagraphFont"/>
    <w:link w:val="Heading2"/>
    <w:rsid w:val="002227D9"/>
    <w:rPr>
      <w:b/>
      <w:bCs/>
      <w:sz w:val="24"/>
    </w:rPr>
  </w:style>
  <w:style w:type="character" w:customStyle="1" w:styleId="Heading3Char">
    <w:name w:val="Heading 3 Char"/>
    <w:basedOn w:val="DefaultParagraphFont"/>
    <w:link w:val="Heading3"/>
    <w:rsid w:val="002227D9"/>
    <w:rPr>
      <w:b/>
      <w:bCs/>
      <w:sz w:val="24"/>
      <w:lang w:val="it-IT"/>
    </w:rPr>
  </w:style>
  <w:style w:type="table" w:customStyle="1" w:styleId="TabeladeGrade1Clara1">
    <w:name w:val="Tabela de Grade 1 Clara1"/>
    <w:basedOn w:val="TableNormal"/>
    <w:uiPriority w:val="46"/>
    <w:rsid w:val="002227D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rmal1">
    <w:name w:val="Normal1"/>
    <w:rsid w:val="002227D9"/>
    <w:pPr>
      <w:spacing w:after="200" w:line="276" w:lineRule="auto"/>
    </w:pPr>
    <w:rPr>
      <w:rFonts w:ascii="Calibri" w:eastAsia="Calibri" w:hAnsi="Calibri" w:cs="Calibri"/>
      <w:color w:val="000000"/>
      <w:sz w:val="22"/>
    </w:rPr>
  </w:style>
  <w:style w:type="paragraph" w:styleId="Revision">
    <w:name w:val="Revision"/>
    <w:hidden/>
    <w:uiPriority w:val="99"/>
    <w:semiHidden/>
    <w:rsid w:val="004D6A85"/>
    <w:rPr>
      <w:rFonts w:ascii="Calibri" w:eastAsia="Calibri" w:hAnsi="Calibri"/>
      <w:sz w:val="22"/>
      <w:szCs w:val="22"/>
      <w:lang w:eastAsia="en-US"/>
    </w:rPr>
  </w:style>
  <w:style w:type="character" w:customStyle="1" w:styleId="MOnografia2Char">
    <w:name w:val="MOnografia 2 Char"/>
    <w:link w:val="MOnografia2"/>
    <w:locked/>
    <w:rsid w:val="00A95416"/>
    <w:rPr>
      <w:b/>
      <w:sz w:val="24"/>
      <w:szCs w:val="24"/>
    </w:rPr>
  </w:style>
  <w:style w:type="paragraph" w:customStyle="1" w:styleId="MOnografia2">
    <w:name w:val="MOnografia 2"/>
    <w:basedOn w:val="Normal"/>
    <w:link w:val="MOnografia2Char"/>
    <w:qFormat/>
    <w:rsid w:val="00A95416"/>
    <w:pPr>
      <w:spacing w:line="360" w:lineRule="auto"/>
    </w:pPr>
    <w:rPr>
      <w:b/>
      <w:lang w:val="pt-BR"/>
    </w:rPr>
  </w:style>
  <w:style w:type="character" w:customStyle="1" w:styleId="article-title">
    <w:name w:val="article-title"/>
    <w:basedOn w:val="DefaultParagraphFont"/>
    <w:rsid w:val="00C001A6"/>
  </w:style>
  <w:style w:type="table" w:customStyle="1" w:styleId="ListaClara-nfase11">
    <w:name w:val="Lista Clara - Ênfase 11"/>
    <w:basedOn w:val="TableNormal"/>
    <w:uiPriority w:val="61"/>
    <w:rsid w:val="003A4315"/>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rsid w:val="00B51110"/>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size-extra-large">
    <w:name w:val="a-size-extra-large"/>
    <w:basedOn w:val="DefaultParagraphFont"/>
    <w:rsid w:val="00C72100"/>
  </w:style>
  <w:style w:type="character" w:styleId="UnresolvedMention">
    <w:name w:val="Unresolved Mention"/>
    <w:basedOn w:val="DefaultParagraphFont"/>
    <w:uiPriority w:val="99"/>
    <w:semiHidden/>
    <w:unhideWhenUsed/>
    <w:rsid w:val="00F817F2"/>
    <w:rPr>
      <w:color w:val="605E5C"/>
      <w:shd w:val="clear" w:color="auto" w:fill="E1DFDD"/>
    </w:rPr>
  </w:style>
  <w:style w:type="character" w:customStyle="1" w:styleId="Fontepargpadro2">
    <w:name w:val="Fonte parág. padrão2"/>
    <w:rsid w:val="00997683"/>
  </w:style>
  <w:style w:type="character" w:customStyle="1" w:styleId="Fontepargpadro1">
    <w:name w:val="Fonte parág. padrão1"/>
    <w:rsid w:val="00997683"/>
  </w:style>
  <w:style w:type="character" w:customStyle="1" w:styleId="Caracteresdenotaderodap">
    <w:name w:val="Caracteres de nota de rodapé"/>
    <w:rsid w:val="00997683"/>
    <w:rPr>
      <w:vertAlign w:val="superscript"/>
    </w:rPr>
  </w:style>
  <w:style w:type="character" w:customStyle="1" w:styleId="FootnoteCharacters">
    <w:name w:val="Footnote Characters"/>
    <w:rsid w:val="00997683"/>
    <w:rPr>
      <w:vertAlign w:val="superscript"/>
    </w:rPr>
  </w:style>
  <w:style w:type="character" w:customStyle="1" w:styleId="EndnoteCharacters">
    <w:name w:val="Endnote Characters"/>
    <w:rsid w:val="00997683"/>
    <w:rPr>
      <w:vertAlign w:val="superscript"/>
    </w:rPr>
  </w:style>
  <w:style w:type="character" w:customStyle="1" w:styleId="Caracteresdenotadefim">
    <w:name w:val="Caracteres de nota de fim"/>
    <w:rsid w:val="00997683"/>
  </w:style>
  <w:style w:type="character" w:styleId="FootnoteReference">
    <w:name w:val="footnote reference"/>
    <w:uiPriority w:val="99"/>
    <w:rsid w:val="00997683"/>
    <w:rPr>
      <w:vertAlign w:val="superscript"/>
    </w:rPr>
  </w:style>
  <w:style w:type="character" w:styleId="EndnoteReference">
    <w:name w:val="endnote reference"/>
    <w:rsid w:val="00997683"/>
    <w:rPr>
      <w:vertAlign w:val="superscript"/>
    </w:rPr>
  </w:style>
  <w:style w:type="paragraph" w:customStyle="1" w:styleId="Heading">
    <w:name w:val="Heading"/>
    <w:basedOn w:val="Normal"/>
    <w:next w:val="BodyText"/>
    <w:rsid w:val="00997683"/>
    <w:pPr>
      <w:keepNext/>
      <w:suppressAutoHyphens/>
      <w:spacing w:before="240" w:after="120" w:line="276" w:lineRule="auto"/>
      <w:ind w:firstLine="709"/>
    </w:pPr>
    <w:rPr>
      <w:rFonts w:ascii="Nimbus Sans L" w:eastAsia="DejaVu Sans" w:hAnsi="Nimbus Sans L" w:cs="DejaVu Sans"/>
      <w:sz w:val="28"/>
      <w:szCs w:val="28"/>
      <w:lang w:val="pt-BR" w:eastAsia="ar-SA"/>
    </w:rPr>
  </w:style>
  <w:style w:type="paragraph" w:customStyle="1" w:styleId="Legenda1">
    <w:name w:val="Legenda1"/>
    <w:basedOn w:val="Normal"/>
    <w:rsid w:val="00997683"/>
    <w:pPr>
      <w:suppressLineNumbers/>
      <w:suppressAutoHyphens/>
      <w:spacing w:before="120" w:after="120" w:line="276" w:lineRule="auto"/>
      <w:ind w:firstLine="709"/>
    </w:pPr>
    <w:rPr>
      <w:i/>
      <w:iCs/>
      <w:lang w:val="pt-BR" w:eastAsia="ar-SA"/>
    </w:rPr>
  </w:style>
  <w:style w:type="paragraph" w:customStyle="1" w:styleId="Index">
    <w:name w:val="Index"/>
    <w:basedOn w:val="Normal"/>
    <w:rsid w:val="00997683"/>
    <w:pPr>
      <w:suppressLineNumbers/>
      <w:suppressAutoHyphens/>
      <w:spacing w:line="276" w:lineRule="auto"/>
      <w:ind w:firstLine="709"/>
    </w:pPr>
    <w:rPr>
      <w:lang w:val="pt-BR" w:eastAsia="ar-SA"/>
    </w:rPr>
  </w:style>
  <w:style w:type="paragraph" w:customStyle="1" w:styleId="Captulo">
    <w:name w:val="Capítulo"/>
    <w:basedOn w:val="Normal"/>
    <w:next w:val="BodyText"/>
    <w:rsid w:val="00997683"/>
    <w:pPr>
      <w:keepNext/>
      <w:suppressAutoHyphens/>
      <w:spacing w:before="240" w:after="120" w:line="276" w:lineRule="auto"/>
      <w:ind w:firstLine="709"/>
    </w:pPr>
    <w:rPr>
      <w:rFonts w:eastAsia="MS Mincho" w:cs="Tahoma"/>
      <w:sz w:val="28"/>
      <w:szCs w:val="28"/>
      <w:lang w:val="pt-BR" w:eastAsia="ar-SA"/>
    </w:rPr>
  </w:style>
  <w:style w:type="paragraph" w:customStyle="1" w:styleId="ndice">
    <w:name w:val="Índice"/>
    <w:basedOn w:val="Normal"/>
    <w:rsid w:val="00997683"/>
    <w:pPr>
      <w:suppressLineNumbers/>
      <w:suppressAutoHyphens/>
      <w:spacing w:line="276" w:lineRule="auto"/>
      <w:ind w:firstLine="709"/>
    </w:pPr>
    <w:rPr>
      <w:rFonts w:cs="Tahoma"/>
      <w:lang w:val="pt-BR" w:eastAsia="ar-SA"/>
    </w:rPr>
  </w:style>
  <w:style w:type="paragraph" w:customStyle="1" w:styleId="resumo0">
    <w:name w:val="resumo"/>
    <w:basedOn w:val="Normal"/>
    <w:rsid w:val="00997683"/>
    <w:pPr>
      <w:suppressAutoHyphens/>
    </w:pPr>
    <w:rPr>
      <w:lang w:val="pt-BR" w:eastAsia="ar-SA"/>
    </w:rPr>
  </w:style>
  <w:style w:type="paragraph" w:customStyle="1" w:styleId="citacao">
    <w:name w:val="citacao"/>
    <w:basedOn w:val="Normal"/>
    <w:link w:val="citacaoChar"/>
    <w:rsid w:val="00997683"/>
    <w:pPr>
      <w:suppressAutoHyphens/>
      <w:ind w:left="2268"/>
    </w:pPr>
    <w:rPr>
      <w:sz w:val="20"/>
      <w:lang w:val="x-none" w:eastAsia="ar-SA"/>
    </w:rPr>
  </w:style>
  <w:style w:type="character" w:customStyle="1" w:styleId="TitleChar">
    <w:name w:val="Title Char"/>
    <w:link w:val="Title"/>
    <w:rsid w:val="00997683"/>
    <w:rPr>
      <w:rFonts w:cs="Arial"/>
      <w:b/>
      <w:bCs/>
      <w:kern w:val="28"/>
      <w:sz w:val="30"/>
      <w:szCs w:val="32"/>
      <w:lang w:val="pt-PT"/>
    </w:rPr>
  </w:style>
  <w:style w:type="character" w:customStyle="1" w:styleId="AutoresChar">
    <w:name w:val="Autores Char"/>
    <w:link w:val="Autores"/>
    <w:rsid w:val="00997683"/>
    <w:rPr>
      <w:b/>
      <w:bCs/>
      <w:szCs w:val="24"/>
    </w:rPr>
  </w:style>
  <w:style w:type="paragraph" w:customStyle="1" w:styleId="Citaolonga">
    <w:name w:val="Citação longa"/>
    <w:basedOn w:val="citacao"/>
    <w:link w:val="CitaolongaChar"/>
    <w:qFormat/>
    <w:rsid w:val="00997683"/>
    <w:pPr>
      <w:spacing w:line="276" w:lineRule="auto"/>
    </w:pPr>
  </w:style>
  <w:style w:type="character" w:customStyle="1" w:styleId="ResumoChar">
    <w:name w:val="Resumo Char"/>
    <w:link w:val="Resumo"/>
    <w:rsid w:val="00997683"/>
    <w:rPr>
      <w:b/>
      <w:bCs/>
      <w:i/>
      <w:iCs/>
      <w:sz w:val="24"/>
      <w:szCs w:val="24"/>
      <w:lang w:val="pt-PT"/>
    </w:rPr>
  </w:style>
  <w:style w:type="paragraph" w:customStyle="1" w:styleId="Notaselegendas">
    <w:name w:val="Notas e legendas"/>
    <w:basedOn w:val="citacao"/>
    <w:link w:val="NotaselegendasChar"/>
    <w:qFormat/>
    <w:rsid w:val="00997683"/>
    <w:pPr>
      <w:spacing w:line="276" w:lineRule="auto"/>
      <w:ind w:left="0"/>
    </w:pPr>
  </w:style>
  <w:style w:type="character" w:customStyle="1" w:styleId="citacaoChar">
    <w:name w:val="citacao Char"/>
    <w:link w:val="citacao"/>
    <w:rsid w:val="00997683"/>
    <w:rPr>
      <w:szCs w:val="24"/>
      <w:lang w:val="x-none" w:eastAsia="ar-SA"/>
    </w:rPr>
  </w:style>
  <w:style w:type="character" w:customStyle="1" w:styleId="CitaolongaChar">
    <w:name w:val="Citação longa Char"/>
    <w:basedOn w:val="citacaoChar"/>
    <w:link w:val="Citaolonga"/>
    <w:rsid w:val="00997683"/>
    <w:rPr>
      <w:szCs w:val="24"/>
      <w:lang w:val="x-none" w:eastAsia="ar-SA"/>
    </w:rPr>
  </w:style>
  <w:style w:type="paragraph" w:customStyle="1" w:styleId="Ttulosdefiguras">
    <w:name w:val="Títulos de figuras"/>
    <w:basedOn w:val="citacao"/>
    <w:link w:val="TtulosdefigurasChar"/>
    <w:qFormat/>
    <w:rsid w:val="00997683"/>
    <w:pPr>
      <w:spacing w:line="276" w:lineRule="auto"/>
      <w:ind w:left="0"/>
    </w:pPr>
  </w:style>
  <w:style w:type="character" w:customStyle="1" w:styleId="NotaselegendasChar">
    <w:name w:val="Notas e legendas Char"/>
    <w:basedOn w:val="citacaoChar"/>
    <w:link w:val="Notaselegendas"/>
    <w:rsid w:val="00997683"/>
    <w:rPr>
      <w:szCs w:val="24"/>
      <w:lang w:val="x-none" w:eastAsia="ar-SA"/>
    </w:rPr>
  </w:style>
  <w:style w:type="character" w:customStyle="1" w:styleId="TtulosdefigurasChar">
    <w:name w:val="Títulos de figuras Char"/>
    <w:basedOn w:val="citacaoChar"/>
    <w:link w:val="Ttulosdefiguras"/>
    <w:rsid w:val="00997683"/>
    <w:rPr>
      <w:szCs w:val="24"/>
      <w:lang w:val="x-none" w:eastAsia="ar-SA"/>
    </w:rPr>
  </w:style>
  <w:style w:type="character" w:customStyle="1" w:styleId="nlmarticle-title">
    <w:name w:val="nlm_article-title"/>
    <w:rsid w:val="00997683"/>
  </w:style>
  <w:style w:type="character" w:customStyle="1" w:styleId="contribdegrees">
    <w:name w:val="contribdegrees"/>
    <w:rsid w:val="00997683"/>
  </w:style>
  <w:style w:type="character" w:customStyle="1" w:styleId="title-text">
    <w:name w:val="title-text"/>
    <w:rsid w:val="00997683"/>
  </w:style>
  <w:style w:type="character" w:customStyle="1" w:styleId="sr-only">
    <w:name w:val="sr-only"/>
    <w:rsid w:val="00997683"/>
  </w:style>
  <w:style w:type="character" w:customStyle="1" w:styleId="text">
    <w:name w:val="text"/>
    <w:rsid w:val="00997683"/>
  </w:style>
  <w:style w:type="character" w:customStyle="1" w:styleId="author-ref">
    <w:name w:val="author-ref"/>
    <w:rsid w:val="00997683"/>
  </w:style>
  <w:style w:type="character" w:customStyle="1" w:styleId="notranslate">
    <w:name w:val="notranslate"/>
    <w:basedOn w:val="DefaultParagraphFont"/>
    <w:rsid w:val="00273AB6"/>
  </w:style>
  <w:style w:type="character" w:customStyle="1" w:styleId="html-italic">
    <w:name w:val="html-italic"/>
    <w:basedOn w:val="DefaultParagraphFont"/>
    <w:rsid w:val="00244A86"/>
  </w:style>
  <w:style w:type="character" w:customStyle="1" w:styleId="inlineblock">
    <w:name w:val="inlineblock"/>
    <w:basedOn w:val="DefaultParagraphFont"/>
    <w:rsid w:val="00244A86"/>
  </w:style>
  <w:style w:type="paragraph" w:customStyle="1" w:styleId="volume-issue">
    <w:name w:val="volume-issue"/>
    <w:basedOn w:val="Normal"/>
    <w:rsid w:val="00244A86"/>
    <w:pPr>
      <w:spacing w:before="100" w:beforeAutospacing="1" w:after="100" w:afterAutospacing="1"/>
    </w:pPr>
    <w:rPr>
      <w:lang w:val="pt-BR"/>
    </w:rPr>
  </w:style>
  <w:style w:type="character" w:customStyle="1" w:styleId="val">
    <w:name w:val="val"/>
    <w:basedOn w:val="DefaultParagraphFont"/>
    <w:rsid w:val="00244A86"/>
  </w:style>
  <w:style w:type="character" w:customStyle="1" w:styleId="author">
    <w:name w:val="author"/>
    <w:basedOn w:val="DefaultParagraphFont"/>
    <w:rsid w:val="00244A86"/>
  </w:style>
  <w:style w:type="character" w:customStyle="1" w:styleId="articletitle">
    <w:name w:val="articletitle"/>
    <w:basedOn w:val="DefaultParagraphFont"/>
    <w:rsid w:val="00244A86"/>
  </w:style>
  <w:style w:type="character" w:customStyle="1" w:styleId="vol">
    <w:name w:val="vol"/>
    <w:basedOn w:val="DefaultParagraphFont"/>
    <w:rsid w:val="00244A86"/>
  </w:style>
  <w:style w:type="character" w:customStyle="1" w:styleId="citedissue">
    <w:name w:val="citedissue"/>
    <w:basedOn w:val="DefaultParagraphFont"/>
    <w:rsid w:val="00244A86"/>
  </w:style>
  <w:style w:type="character" w:customStyle="1" w:styleId="pagefirst">
    <w:name w:val="pagefirst"/>
    <w:basedOn w:val="DefaultParagraphFont"/>
    <w:rsid w:val="00244A86"/>
  </w:style>
  <w:style w:type="character" w:customStyle="1" w:styleId="pagelast">
    <w:name w:val="pagelast"/>
    <w:basedOn w:val="DefaultParagraphFont"/>
    <w:rsid w:val="00244A86"/>
  </w:style>
  <w:style w:type="character" w:customStyle="1" w:styleId="nlmyear">
    <w:name w:val="nlm_year"/>
    <w:basedOn w:val="DefaultParagraphFont"/>
    <w:rsid w:val="00244A86"/>
  </w:style>
  <w:style w:type="character" w:customStyle="1" w:styleId="nlmdate-in-citation">
    <w:name w:val="nlm_date-in-citation"/>
    <w:basedOn w:val="DefaultParagraphFont"/>
    <w:rsid w:val="00244A86"/>
  </w:style>
  <w:style w:type="character" w:customStyle="1" w:styleId="fontstyle01">
    <w:name w:val="fontstyle01"/>
    <w:rsid w:val="00382CBA"/>
    <w:rPr>
      <w:rFonts w:ascii="CMSS12" w:hAnsi="CMSS12" w:hint="default"/>
      <w:b w:val="0"/>
      <w:bCs w:val="0"/>
      <w:i w:val="0"/>
      <w:iCs w:val="0"/>
      <w:color w:val="000000"/>
      <w:sz w:val="32"/>
      <w:szCs w:val="32"/>
    </w:rPr>
  </w:style>
  <w:style w:type="paragraph" w:styleId="EndnoteText">
    <w:name w:val="endnote text"/>
    <w:basedOn w:val="Normal"/>
    <w:link w:val="EndnoteTextChar"/>
    <w:semiHidden/>
    <w:unhideWhenUsed/>
    <w:rsid w:val="002665FA"/>
    <w:rPr>
      <w:sz w:val="20"/>
      <w:szCs w:val="20"/>
    </w:rPr>
  </w:style>
  <w:style w:type="character" w:customStyle="1" w:styleId="EndnoteTextChar">
    <w:name w:val="Endnote Text Char"/>
    <w:basedOn w:val="DefaultParagraphFont"/>
    <w:link w:val="EndnoteText"/>
    <w:semiHidden/>
    <w:rsid w:val="002665FA"/>
    <w:rPr>
      <w:rFonts w:ascii="Arial" w:hAnsi="Arial"/>
      <w:lang w:val="pt-PT"/>
    </w:rPr>
  </w:style>
  <w:style w:type="paragraph" w:customStyle="1" w:styleId="RDTitulodeilustraes">
    <w:name w:val="RD Titulo de ilustrações"/>
    <w:basedOn w:val="Normal"/>
    <w:link w:val="RDTitulodeilustraesChar"/>
    <w:rsid w:val="0002526F"/>
    <w:pPr>
      <w:spacing w:before="360" w:after="360"/>
    </w:pPr>
    <w:rPr>
      <w:rFonts w:ascii="Times New Roman" w:eastAsia="Calibri" w:hAnsi="Times New Roman"/>
      <w:color w:val="000000"/>
      <w:lang w:val="x-none" w:eastAsia="en-US"/>
    </w:rPr>
  </w:style>
  <w:style w:type="character" w:customStyle="1" w:styleId="RDTitulodeilustraesChar">
    <w:name w:val="RD Titulo de ilustrações Char"/>
    <w:link w:val="RDTitulodeilustraes"/>
    <w:rsid w:val="0002526F"/>
    <w:rPr>
      <w:rFonts w:eastAsia="Calibri"/>
      <w:color w:val="000000"/>
      <w:sz w:val="24"/>
      <w:szCs w:val="24"/>
      <w:lang w:val="x-none" w:eastAsia="en-US"/>
    </w:rPr>
  </w:style>
  <w:style w:type="character" w:customStyle="1" w:styleId="font16">
    <w:name w:val="font16"/>
    <w:basedOn w:val="DefaultParagraphFont"/>
    <w:rsid w:val="00D62EC4"/>
  </w:style>
  <w:style w:type="table" w:customStyle="1" w:styleId="Tabelacomgrade1">
    <w:name w:val="Tabela com grade1"/>
    <w:basedOn w:val="TableNormal"/>
    <w:next w:val="TableGrid"/>
    <w:uiPriority w:val="39"/>
    <w:rsid w:val="00B3382C"/>
    <w:rPr>
      <w:rFonts w:asciiTheme="minorHAnsi" w:eastAsia="Malgun Gothic" w:hAnsiTheme="minorHAnsi" w:cstheme="minorBid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316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80469">
      <w:bodyDiv w:val="1"/>
      <w:marLeft w:val="0"/>
      <w:marRight w:val="0"/>
      <w:marTop w:val="0"/>
      <w:marBottom w:val="0"/>
      <w:divBdr>
        <w:top w:val="none" w:sz="0" w:space="0" w:color="auto"/>
        <w:left w:val="none" w:sz="0" w:space="0" w:color="auto"/>
        <w:bottom w:val="none" w:sz="0" w:space="0" w:color="auto"/>
        <w:right w:val="none" w:sz="0" w:space="0" w:color="auto"/>
      </w:divBdr>
    </w:div>
    <w:div w:id="362706213">
      <w:bodyDiv w:val="1"/>
      <w:marLeft w:val="0"/>
      <w:marRight w:val="0"/>
      <w:marTop w:val="0"/>
      <w:marBottom w:val="0"/>
      <w:divBdr>
        <w:top w:val="none" w:sz="0" w:space="0" w:color="auto"/>
        <w:left w:val="none" w:sz="0" w:space="0" w:color="auto"/>
        <w:bottom w:val="none" w:sz="0" w:space="0" w:color="auto"/>
        <w:right w:val="none" w:sz="0" w:space="0" w:color="auto"/>
      </w:divBdr>
    </w:div>
    <w:div w:id="403336654">
      <w:bodyDiv w:val="1"/>
      <w:marLeft w:val="0"/>
      <w:marRight w:val="0"/>
      <w:marTop w:val="0"/>
      <w:marBottom w:val="0"/>
      <w:divBdr>
        <w:top w:val="none" w:sz="0" w:space="0" w:color="auto"/>
        <w:left w:val="none" w:sz="0" w:space="0" w:color="auto"/>
        <w:bottom w:val="none" w:sz="0" w:space="0" w:color="auto"/>
        <w:right w:val="none" w:sz="0" w:space="0" w:color="auto"/>
      </w:divBdr>
    </w:div>
    <w:div w:id="483815067">
      <w:bodyDiv w:val="1"/>
      <w:marLeft w:val="0"/>
      <w:marRight w:val="0"/>
      <w:marTop w:val="0"/>
      <w:marBottom w:val="0"/>
      <w:divBdr>
        <w:top w:val="none" w:sz="0" w:space="0" w:color="auto"/>
        <w:left w:val="none" w:sz="0" w:space="0" w:color="auto"/>
        <w:bottom w:val="none" w:sz="0" w:space="0" w:color="auto"/>
        <w:right w:val="none" w:sz="0" w:space="0" w:color="auto"/>
      </w:divBdr>
    </w:div>
    <w:div w:id="508447478">
      <w:bodyDiv w:val="1"/>
      <w:marLeft w:val="0"/>
      <w:marRight w:val="0"/>
      <w:marTop w:val="0"/>
      <w:marBottom w:val="0"/>
      <w:divBdr>
        <w:top w:val="none" w:sz="0" w:space="0" w:color="auto"/>
        <w:left w:val="none" w:sz="0" w:space="0" w:color="auto"/>
        <w:bottom w:val="none" w:sz="0" w:space="0" w:color="auto"/>
        <w:right w:val="none" w:sz="0" w:space="0" w:color="auto"/>
      </w:divBdr>
    </w:div>
    <w:div w:id="525875757">
      <w:bodyDiv w:val="1"/>
      <w:marLeft w:val="0"/>
      <w:marRight w:val="0"/>
      <w:marTop w:val="0"/>
      <w:marBottom w:val="0"/>
      <w:divBdr>
        <w:top w:val="none" w:sz="0" w:space="0" w:color="auto"/>
        <w:left w:val="none" w:sz="0" w:space="0" w:color="auto"/>
        <w:bottom w:val="none" w:sz="0" w:space="0" w:color="auto"/>
        <w:right w:val="none" w:sz="0" w:space="0" w:color="auto"/>
      </w:divBdr>
    </w:div>
    <w:div w:id="561447035">
      <w:bodyDiv w:val="1"/>
      <w:marLeft w:val="0"/>
      <w:marRight w:val="0"/>
      <w:marTop w:val="0"/>
      <w:marBottom w:val="0"/>
      <w:divBdr>
        <w:top w:val="none" w:sz="0" w:space="0" w:color="auto"/>
        <w:left w:val="none" w:sz="0" w:space="0" w:color="auto"/>
        <w:bottom w:val="none" w:sz="0" w:space="0" w:color="auto"/>
        <w:right w:val="none" w:sz="0" w:space="0" w:color="auto"/>
      </w:divBdr>
    </w:div>
    <w:div w:id="781918631">
      <w:bodyDiv w:val="1"/>
      <w:marLeft w:val="0"/>
      <w:marRight w:val="0"/>
      <w:marTop w:val="0"/>
      <w:marBottom w:val="0"/>
      <w:divBdr>
        <w:top w:val="none" w:sz="0" w:space="0" w:color="auto"/>
        <w:left w:val="none" w:sz="0" w:space="0" w:color="auto"/>
        <w:bottom w:val="none" w:sz="0" w:space="0" w:color="auto"/>
        <w:right w:val="none" w:sz="0" w:space="0" w:color="auto"/>
      </w:divBdr>
    </w:div>
    <w:div w:id="784346949">
      <w:bodyDiv w:val="1"/>
      <w:marLeft w:val="0"/>
      <w:marRight w:val="0"/>
      <w:marTop w:val="0"/>
      <w:marBottom w:val="0"/>
      <w:divBdr>
        <w:top w:val="none" w:sz="0" w:space="0" w:color="auto"/>
        <w:left w:val="none" w:sz="0" w:space="0" w:color="auto"/>
        <w:bottom w:val="none" w:sz="0" w:space="0" w:color="auto"/>
        <w:right w:val="none" w:sz="0" w:space="0" w:color="auto"/>
      </w:divBdr>
    </w:div>
    <w:div w:id="901410604">
      <w:bodyDiv w:val="1"/>
      <w:marLeft w:val="0"/>
      <w:marRight w:val="0"/>
      <w:marTop w:val="0"/>
      <w:marBottom w:val="0"/>
      <w:divBdr>
        <w:top w:val="none" w:sz="0" w:space="0" w:color="auto"/>
        <w:left w:val="none" w:sz="0" w:space="0" w:color="auto"/>
        <w:bottom w:val="none" w:sz="0" w:space="0" w:color="auto"/>
        <w:right w:val="none" w:sz="0" w:space="0" w:color="auto"/>
      </w:divBdr>
    </w:div>
    <w:div w:id="1008291297">
      <w:bodyDiv w:val="1"/>
      <w:marLeft w:val="0"/>
      <w:marRight w:val="0"/>
      <w:marTop w:val="0"/>
      <w:marBottom w:val="0"/>
      <w:divBdr>
        <w:top w:val="none" w:sz="0" w:space="0" w:color="auto"/>
        <w:left w:val="none" w:sz="0" w:space="0" w:color="auto"/>
        <w:bottom w:val="none" w:sz="0" w:space="0" w:color="auto"/>
        <w:right w:val="none" w:sz="0" w:space="0" w:color="auto"/>
      </w:divBdr>
    </w:div>
    <w:div w:id="1068462248">
      <w:bodyDiv w:val="1"/>
      <w:marLeft w:val="0"/>
      <w:marRight w:val="0"/>
      <w:marTop w:val="0"/>
      <w:marBottom w:val="0"/>
      <w:divBdr>
        <w:top w:val="none" w:sz="0" w:space="0" w:color="auto"/>
        <w:left w:val="none" w:sz="0" w:space="0" w:color="auto"/>
        <w:bottom w:val="none" w:sz="0" w:space="0" w:color="auto"/>
        <w:right w:val="none" w:sz="0" w:space="0" w:color="auto"/>
      </w:divBdr>
    </w:div>
    <w:div w:id="1110471841">
      <w:bodyDiv w:val="1"/>
      <w:marLeft w:val="0"/>
      <w:marRight w:val="0"/>
      <w:marTop w:val="0"/>
      <w:marBottom w:val="0"/>
      <w:divBdr>
        <w:top w:val="none" w:sz="0" w:space="0" w:color="auto"/>
        <w:left w:val="none" w:sz="0" w:space="0" w:color="auto"/>
        <w:bottom w:val="none" w:sz="0" w:space="0" w:color="auto"/>
        <w:right w:val="none" w:sz="0" w:space="0" w:color="auto"/>
      </w:divBdr>
    </w:div>
    <w:div w:id="1206135301">
      <w:bodyDiv w:val="1"/>
      <w:marLeft w:val="0"/>
      <w:marRight w:val="0"/>
      <w:marTop w:val="0"/>
      <w:marBottom w:val="0"/>
      <w:divBdr>
        <w:top w:val="none" w:sz="0" w:space="0" w:color="auto"/>
        <w:left w:val="none" w:sz="0" w:space="0" w:color="auto"/>
        <w:bottom w:val="none" w:sz="0" w:space="0" w:color="auto"/>
        <w:right w:val="none" w:sz="0" w:space="0" w:color="auto"/>
      </w:divBdr>
    </w:div>
    <w:div w:id="1207795048">
      <w:bodyDiv w:val="1"/>
      <w:marLeft w:val="0"/>
      <w:marRight w:val="0"/>
      <w:marTop w:val="0"/>
      <w:marBottom w:val="0"/>
      <w:divBdr>
        <w:top w:val="none" w:sz="0" w:space="0" w:color="auto"/>
        <w:left w:val="none" w:sz="0" w:space="0" w:color="auto"/>
        <w:bottom w:val="none" w:sz="0" w:space="0" w:color="auto"/>
        <w:right w:val="none" w:sz="0" w:space="0" w:color="auto"/>
      </w:divBdr>
      <w:divsChild>
        <w:div w:id="115753740">
          <w:marLeft w:val="0"/>
          <w:marRight w:val="0"/>
          <w:marTop w:val="0"/>
          <w:marBottom w:val="0"/>
          <w:divBdr>
            <w:top w:val="none" w:sz="0" w:space="0" w:color="auto"/>
            <w:left w:val="none" w:sz="0" w:space="0" w:color="auto"/>
            <w:bottom w:val="none" w:sz="0" w:space="0" w:color="auto"/>
            <w:right w:val="none" w:sz="0" w:space="0" w:color="auto"/>
          </w:divBdr>
          <w:divsChild>
            <w:div w:id="90468567">
              <w:marLeft w:val="0"/>
              <w:marRight w:val="0"/>
              <w:marTop w:val="0"/>
              <w:marBottom w:val="0"/>
              <w:divBdr>
                <w:top w:val="none" w:sz="0" w:space="0" w:color="auto"/>
                <w:left w:val="none" w:sz="0" w:space="0" w:color="auto"/>
                <w:bottom w:val="none" w:sz="0" w:space="0" w:color="auto"/>
                <w:right w:val="none" w:sz="0" w:space="0" w:color="auto"/>
              </w:divBdr>
              <w:divsChild>
                <w:div w:id="1151601138">
                  <w:marLeft w:val="0"/>
                  <w:marRight w:val="0"/>
                  <w:marTop w:val="0"/>
                  <w:marBottom w:val="0"/>
                  <w:divBdr>
                    <w:top w:val="none" w:sz="0" w:space="0" w:color="auto"/>
                    <w:left w:val="none" w:sz="0" w:space="0" w:color="auto"/>
                    <w:bottom w:val="none" w:sz="0" w:space="0" w:color="auto"/>
                    <w:right w:val="none" w:sz="0" w:space="0" w:color="auto"/>
                  </w:divBdr>
                  <w:divsChild>
                    <w:div w:id="388306160">
                      <w:marLeft w:val="0"/>
                      <w:marRight w:val="0"/>
                      <w:marTop w:val="0"/>
                      <w:marBottom w:val="0"/>
                      <w:divBdr>
                        <w:top w:val="none" w:sz="0" w:space="0" w:color="auto"/>
                        <w:left w:val="none" w:sz="0" w:space="0" w:color="auto"/>
                        <w:bottom w:val="none" w:sz="0" w:space="0" w:color="auto"/>
                        <w:right w:val="none" w:sz="0" w:space="0" w:color="auto"/>
                      </w:divBdr>
                      <w:divsChild>
                        <w:div w:id="1905677268">
                          <w:marLeft w:val="-15"/>
                          <w:marRight w:val="0"/>
                          <w:marTop w:val="0"/>
                          <w:marBottom w:val="0"/>
                          <w:divBdr>
                            <w:top w:val="none" w:sz="0" w:space="0" w:color="auto"/>
                            <w:left w:val="none" w:sz="0" w:space="0" w:color="auto"/>
                            <w:bottom w:val="none" w:sz="0" w:space="0" w:color="auto"/>
                            <w:right w:val="none" w:sz="0" w:space="0" w:color="auto"/>
                          </w:divBdr>
                          <w:divsChild>
                            <w:div w:id="46417998">
                              <w:marLeft w:val="0"/>
                              <w:marRight w:val="0"/>
                              <w:marTop w:val="0"/>
                              <w:marBottom w:val="0"/>
                              <w:divBdr>
                                <w:top w:val="none" w:sz="0" w:space="0" w:color="auto"/>
                                <w:left w:val="none" w:sz="0" w:space="0" w:color="auto"/>
                                <w:bottom w:val="none" w:sz="0" w:space="0" w:color="auto"/>
                                <w:right w:val="none" w:sz="0" w:space="0" w:color="auto"/>
                              </w:divBdr>
                              <w:divsChild>
                                <w:div w:id="864248682">
                                  <w:marLeft w:val="0"/>
                                  <w:marRight w:val="-15"/>
                                  <w:marTop w:val="0"/>
                                  <w:marBottom w:val="0"/>
                                  <w:divBdr>
                                    <w:top w:val="none" w:sz="0" w:space="0" w:color="auto"/>
                                    <w:left w:val="none" w:sz="0" w:space="0" w:color="auto"/>
                                    <w:bottom w:val="none" w:sz="0" w:space="0" w:color="auto"/>
                                    <w:right w:val="none" w:sz="0" w:space="0" w:color="auto"/>
                                  </w:divBdr>
                                  <w:divsChild>
                                    <w:div w:id="956105085">
                                      <w:marLeft w:val="0"/>
                                      <w:marRight w:val="0"/>
                                      <w:marTop w:val="0"/>
                                      <w:marBottom w:val="0"/>
                                      <w:divBdr>
                                        <w:top w:val="none" w:sz="0" w:space="0" w:color="auto"/>
                                        <w:left w:val="none" w:sz="0" w:space="0" w:color="auto"/>
                                        <w:bottom w:val="none" w:sz="0" w:space="0" w:color="auto"/>
                                        <w:right w:val="none" w:sz="0" w:space="0" w:color="auto"/>
                                      </w:divBdr>
                                      <w:divsChild>
                                        <w:div w:id="640963868">
                                          <w:marLeft w:val="0"/>
                                          <w:marRight w:val="0"/>
                                          <w:marTop w:val="0"/>
                                          <w:marBottom w:val="0"/>
                                          <w:divBdr>
                                            <w:top w:val="none" w:sz="0" w:space="0" w:color="auto"/>
                                            <w:left w:val="none" w:sz="0" w:space="0" w:color="auto"/>
                                            <w:bottom w:val="none" w:sz="0" w:space="0" w:color="auto"/>
                                            <w:right w:val="none" w:sz="0" w:space="0" w:color="auto"/>
                                          </w:divBdr>
                                          <w:divsChild>
                                            <w:div w:id="392432291">
                                              <w:marLeft w:val="0"/>
                                              <w:marRight w:val="0"/>
                                              <w:marTop w:val="0"/>
                                              <w:marBottom w:val="0"/>
                                              <w:divBdr>
                                                <w:top w:val="none" w:sz="0" w:space="0" w:color="auto"/>
                                                <w:left w:val="none" w:sz="0" w:space="0" w:color="auto"/>
                                                <w:bottom w:val="none" w:sz="0" w:space="0" w:color="auto"/>
                                                <w:right w:val="none" w:sz="0" w:space="0" w:color="auto"/>
                                              </w:divBdr>
                                              <w:divsChild>
                                                <w:div w:id="94400577">
                                                  <w:marLeft w:val="0"/>
                                                  <w:marRight w:val="0"/>
                                                  <w:marTop w:val="0"/>
                                                  <w:marBottom w:val="0"/>
                                                  <w:divBdr>
                                                    <w:top w:val="none" w:sz="0" w:space="0" w:color="auto"/>
                                                    <w:left w:val="none" w:sz="0" w:space="0" w:color="auto"/>
                                                    <w:bottom w:val="none" w:sz="0" w:space="0" w:color="auto"/>
                                                    <w:right w:val="none" w:sz="0" w:space="0" w:color="auto"/>
                                                  </w:divBdr>
                                                  <w:divsChild>
                                                    <w:div w:id="1163621945">
                                                      <w:marLeft w:val="0"/>
                                                      <w:marRight w:val="0"/>
                                                      <w:marTop w:val="0"/>
                                                      <w:marBottom w:val="0"/>
                                                      <w:divBdr>
                                                        <w:top w:val="none" w:sz="0" w:space="0" w:color="auto"/>
                                                        <w:left w:val="none" w:sz="0" w:space="0" w:color="auto"/>
                                                        <w:bottom w:val="none" w:sz="0" w:space="0" w:color="auto"/>
                                                        <w:right w:val="none" w:sz="0" w:space="0" w:color="auto"/>
                                                      </w:divBdr>
                                                      <w:divsChild>
                                                        <w:div w:id="1893073765">
                                                          <w:marLeft w:val="0"/>
                                                          <w:marRight w:val="0"/>
                                                          <w:marTop w:val="0"/>
                                                          <w:marBottom w:val="0"/>
                                                          <w:divBdr>
                                                            <w:top w:val="none" w:sz="0" w:space="0" w:color="auto"/>
                                                            <w:left w:val="none" w:sz="0" w:space="0" w:color="auto"/>
                                                            <w:bottom w:val="none" w:sz="0" w:space="0" w:color="auto"/>
                                                            <w:right w:val="none" w:sz="0" w:space="0" w:color="auto"/>
                                                          </w:divBdr>
                                                          <w:divsChild>
                                                            <w:div w:id="605191957">
                                                              <w:marLeft w:val="0"/>
                                                              <w:marRight w:val="0"/>
                                                              <w:marTop w:val="0"/>
                                                              <w:marBottom w:val="0"/>
                                                              <w:divBdr>
                                                                <w:top w:val="none" w:sz="0" w:space="0" w:color="auto"/>
                                                                <w:left w:val="none" w:sz="0" w:space="0" w:color="auto"/>
                                                                <w:bottom w:val="none" w:sz="0" w:space="0" w:color="auto"/>
                                                                <w:right w:val="none" w:sz="0" w:space="0" w:color="auto"/>
                                                              </w:divBdr>
                                                              <w:divsChild>
                                                                <w:div w:id="125975484">
                                                                  <w:marLeft w:val="0"/>
                                                                  <w:marRight w:val="0"/>
                                                                  <w:marTop w:val="0"/>
                                                                  <w:marBottom w:val="0"/>
                                                                  <w:divBdr>
                                                                    <w:top w:val="none" w:sz="0" w:space="0" w:color="auto"/>
                                                                    <w:left w:val="none" w:sz="0" w:space="0" w:color="auto"/>
                                                                    <w:bottom w:val="none" w:sz="0" w:space="0" w:color="auto"/>
                                                                    <w:right w:val="none" w:sz="0" w:space="0" w:color="auto"/>
                                                                  </w:divBdr>
                                                                  <w:divsChild>
                                                                    <w:div w:id="1584491504">
                                                                      <w:marLeft w:val="0"/>
                                                                      <w:marRight w:val="0"/>
                                                                      <w:marTop w:val="0"/>
                                                                      <w:marBottom w:val="0"/>
                                                                      <w:divBdr>
                                                                        <w:top w:val="none" w:sz="0" w:space="0" w:color="auto"/>
                                                                        <w:left w:val="none" w:sz="0" w:space="0" w:color="auto"/>
                                                                        <w:bottom w:val="none" w:sz="0" w:space="0" w:color="auto"/>
                                                                        <w:right w:val="none" w:sz="0" w:space="0" w:color="auto"/>
                                                                      </w:divBdr>
                                                                      <w:divsChild>
                                                                        <w:div w:id="337074104">
                                                                          <w:marLeft w:val="0"/>
                                                                          <w:marRight w:val="0"/>
                                                                          <w:marTop w:val="0"/>
                                                                          <w:marBottom w:val="0"/>
                                                                          <w:divBdr>
                                                                            <w:top w:val="none" w:sz="0" w:space="0" w:color="auto"/>
                                                                            <w:left w:val="none" w:sz="0" w:space="0" w:color="auto"/>
                                                                            <w:bottom w:val="none" w:sz="0" w:space="0" w:color="auto"/>
                                                                            <w:right w:val="none" w:sz="0" w:space="0" w:color="auto"/>
                                                                          </w:divBdr>
                                                                          <w:divsChild>
                                                                            <w:div w:id="1694963541">
                                                                              <w:marLeft w:val="0"/>
                                                                              <w:marRight w:val="0"/>
                                                                              <w:marTop w:val="0"/>
                                                                              <w:marBottom w:val="0"/>
                                                                              <w:divBdr>
                                                                                <w:top w:val="none" w:sz="0" w:space="0" w:color="auto"/>
                                                                                <w:left w:val="none" w:sz="0" w:space="0" w:color="auto"/>
                                                                                <w:bottom w:val="none" w:sz="0" w:space="0" w:color="auto"/>
                                                                                <w:right w:val="none" w:sz="0" w:space="0" w:color="auto"/>
                                                                              </w:divBdr>
                                                                              <w:divsChild>
                                                                                <w:div w:id="332412667">
                                                                                  <w:marLeft w:val="0"/>
                                                                                  <w:marRight w:val="0"/>
                                                                                  <w:marTop w:val="0"/>
                                                                                  <w:marBottom w:val="0"/>
                                                                                  <w:divBdr>
                                                                                    <w:top w:val="none" w:sz="0" w:space="0" w:color="auto"/>
                                                                                    <w:left w:val="none" w:sz="0" w:space="0" w:color="auto"/>
                                                                                    <w:bottom w:val="none" w:sz="0" w:space="0" w:color="auto"/>
                                                                                    <w:right w:val="none" w:sz="0" w:space="0" w:color="auto"/>
                                                                                  </w:divBdr>
                                                                                  <w:divsChild>
                                                                                    <w:div w:id="414475969">
                                                                                      <w:marLeft w:val="0"/>
                                                                                      <w:marRight w:val="0"/>
                                                                                      <w:marTop w:val="0"/>
                                                                                      <w:marBottom w:val="0"/>
                                                                                      <w:divBdr>
                                                                                        <w:top w:val="none" w:sz="0" w:space="0" w:color="auto"/>
                                                                                        <w:left w:val="none" w:sz="0" w:space="0" w:color="auto"/>
                                                                                        <w:bottom w:val="none" w:sz="0" w:space="0" w:color="auto"/>
                                                                                        <w:right w:val="none" w:sz="0" w:space="0" w:color="auto"/>
                                                                                      </w:divBdr>
                                                                                      <w:divsChild>
                                                                                        <w:div w:id="1777868062">
                                                                                          <w:marLeft w:val="0"/>
                                                                                          <w:marRight w:val="0"/>
                                                                                          <w:marTop w:val="0"/>
                                                                                          <w:marBottom w:val="0"/>
                                                                                          <w:divBdr>
                                                                                            <w:top w:val="none" w:sz="0" w:space="0" w:color="auto"/>
                                                                                            <w:left w:val="none" w:sz="0" w:space="0" w:color="auto"/>
                                                                                            <w:bottom w:val="none" w:sz="0" w:space="0" w:color="auto"/>
                                                                                            <w:right w:val="none" w:sz="0" w:space="0" w:color="auto"/>
                                                                                          </w:divBdr>
                                                                                          <w:divsChild>
                                                                                            <w:div w:id="21038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75043">
                                                                                  <w:marLeft w:val="0"/>
                                                                                  <w:marRight w:val="0"/>
                                                                                  <w:marTop w:val="0"/>
                                                                                  <w:marBottom w:val="0"/>
                                                                                  <w:divBdr>
                                                                                    <w:top w:val="none" w:sz="0" w:space="0" w:color="auto"/>
                                                                                    <w:left w:val="none" w:sz="0" w:space="0" w:color="auto"/>
                                                                                    <w:bottom w:val="none" w:sz="0" w:space="0" w:color="auto"/>
                                                                                    <w:right w:val="none" w:sz="0" w:space="0" w:color="auto"/>
                                                                                  </w:divBdr>
                                                                                  <w:divsChild>
                                                                                    <w:div w:id="100420444">
                                                                                      <w:marLeft w:val="0"/>
                                                                                      <w:marRight w:val="0"/>
                                                                                      <w:marTop w:val="0"/>
                                                                                      <w:marBottom w:val="0"/>
                                                                                      <w:divBdr>
                                                                                        <w:top w:val="none" w:sz="0" w:space="0" w:color="auto"/>
                                                                                        <w:left w:val="none" w:sz="0" w:space="0" w:color="auto"/>
                                                                                        <w:bottom w:val="none" w:sz="0" w:space="0" w:color="auto"/>
                                                                                        <w:right w:val="none" w:sz="0" w:space="0" w:color="auto"/>
                                                                                      </w:divBdr>
                                                                                      <w:divsChild>
                                                                                        <w:div w:id="749237723">
                                                                                          <w:marLeft w:val="0"/>
                                                                                          <w:marRight w:val="0"/>
                                                                                          <w:marTop w:val="0"/>
                                                                                          <w:marBottom w:val="0"/>
                                                                                          <w:divBdr>
                                                                                            <w:top w:val="none" w:sz="0" w:space="0" w:color="auto"/>
                                                                                            <w:left w:val="none" w:sz="0" w:space="0" w:color="auto"/>
                                                                                            <w:bottom w:val="none" w:sz="0" w:space="0" w:color="auto"/>
                                                                                            <w:right w:val="none" w:sz="0" w:space="0" w:color="auto"/>
                                                                                          </w:divBdr>
                                                                                        </w:div>
                                                                                        <w:div w:id="885916086">
                                                                                          <w:marLeft w:val="0"/>
                                                                                          <w:marRight w:val="0"/>
                                                                                          <w:marTop w:val="0"/>
                                                                                          <w:marBottom w:val="0"/>
                                                                                          <w:divBdr>
                                                                                            <w:top w:val="none" w:sz="0" w:space="0" w:color="auto"/>
                                                                                            <w:left w:val="none" w:sz="0" w:space="0" w:color="auto"/>
                                                                                            <w:bottom w:val="none" w:sz="0" w:space="0" w:color="auto"/>
                                                                                            <w:right w:val="none" w:sz="0" w:space="0" w:color="auto"/>
                                                                                          </w:divBdr>
                                                                                          <w:divsChild>
                                                                                            <w:div w:id="82605519">
                                                                                              <w:marLeft w:val="0"/>
                                                                                              <w:marRight w:val="0"/>
                                                                                              <w:marTop w:val="0"/>
                                                                                              <w:marBottom w:val="0"/>
                                                                                              <w:divBdr>
                                                                                                <w:top w:val="none" w:sz="0" w:space="0" w:color="auto"/>
                                                                                                <w:left w:val="none" w:sz="0" w:space="0" w:color="auto"/>
                                                                                                <w:bottom w:val="none" w:sz="0" w:space="0" w:color="auto"/>
                                                                                                <w:right w:val="none" w:sz="0" w:space="0" w:color="auto"/>
                                                                                              </w:divBdr>
                                                                                              <w:divsChild>
                                                                                                <w:div w:id="328607473">
                                                                                                  <w:marLeft w:val="0"/>
                                                                                                  <w:marRight w:val="0"/>
                                                                                                  <w:marTop w:val="0"/>
                                                                                                  <w:marBottom w:val="0"/>
                                                                                                  <w:divBdr>
                                                                                                    <w:top w:val="none" w:sz="0" w:space="0" w:color="auto"/>
                                                                                                    <w:left w:val="none" w:sz="0" w:space="0" w:color="auto"/>
                                                                                                    <w:bottom w:val="none" w:sz="0" w:space="0" w:color="auto"/>
                                                                                                    <w:right w:val="none" w:sz="0" w:space="0" w:color="auto"/>
                                                                                                  </w:divBdr>
                                                                                                  <w:divsChild>
                                                                                                    <w:div w:id="527529763">
                                                                                                      <w:marLeft w:val="0"/>
                                                                                                      <w:marRight w:val="0"/>
                                                                                                      <w:marTop w:val="0"/>
                                                                                                      <w:marBottom w:val="0"/>
                                                                                                      <w:divBdr>
                                                                                                        <w:top w:val="none" w:sz="0" w:space="0" w:color="auto"/>
                                                                                                        <w:left w:val="none" w:sz="0" w:space="0" w:color="auto"/>
                                                                                                        <w:bottom w:val="none" w:sz="0" w:space="0" w:color="auto"/>
                                                                                                        <w:right w:val="none" w:sz="0" w:space="0" w:color="auto"/>
                                                                                                      </w:divBdr>
                                                                                                      <w:divsChild>
                                                                                                        <w:div w:id="1416316784">
                                                                                                          <w:marLeft w:val="0"/>
                                                                                                          <w:marRight w:val="0"/>
                                                                                                          <w:marTop w:val="0"/>
                                                                                                          <w:marBottom w:val="0"/>
                                                                                                          <w:divBdr>
                                                                                                            <w:top w:val="none" w:sz="0" w:space="0" w:color="auto"/>
                                                                                                            <w:left w:val="none" w:sz="0" w:space="0" w:color="auto"/>
                                                                                                            <w:bottom w:val="none" w:sz="0" w:space="0" w:color="auto"/>
                                                                                                            <w:right w:val="none" w:sz="0" w:space="0" w:color="auto"/>
                                                                                                          </w:divBdr>
                                                                                                          <w:divsChild>
                                                                                                            <w:div w:id="1939871881">
                                                                                                              <w:marLeft w:val="0"/>
                                                                                                              <w:marRight w:val="0"/>
                                                                                                              <w:marTop w:val="0"/>
                                                                                                              <w:marBottom w:val="0"/>
                                                                                                              <w:divBdr>
                                                                                                                <w:top w:val="none" w:sz="0" w:space="0" w:color="auto"/>
                                                                                                                <w:left w:val="none" w:sz="0" w:space="0" w:color="auto"/>
                                                                                                                <w:bottom w:val="none" w:sz="0" w:space="0" w:color="auto"/>
                                                                                                                <w:right w:val="none" w:sz="0" w:space="0" w:color="auto"/>
                                                                                                              </w:divBdr>
                                                                                                              <w:divsChild>
                                                                                                                <w:div w:id="6686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13039">
                                                                                  <w:marLeft w:val="0"/>
                                                                                  <w:marRight w:val="0"/>
                                                                                  <w:marTop w:val="0"/>
                                                                                  <w:marBottom w:val="0"/>
                                                                                  <w:divBdr>
                                                                                    <w:top w:val="none" w:sz="0" w:space="0" w:color="auto"/>
                                                                                    <w:left w:val="none" w:sz="0" w:space="0" w:color="auto"/>
                                                                                    <w:bottom w:val="none" w:sz="0" w:space="0" w:color="auto"/>
                                                                                    <w:right w:val="none" w:sz="0" w:space="0" w:color="auto"/>
                                                                                  </w:divBdr>
                                                                                  <w:divsChild>
                                                                                    <w:div w:id="257907476">
                                                                                      <w:marLeft w:val="0"/>
                                                                                      <w:marRight w:val="0"/>
                                                                                      <w:marTop w:val="0"/>
                                                                                      <w:marBottom w:val="0"/>
                                                                                      <w:divBdr>
                                                                                        <w:top w:val="none" w:sz="0" w:space="0" w:color="auto"/>
                                                                                        <w:left w:val="none" w:sz="0" w:space="0" w:color="auto"/>
                                                                                        <w:bottom w:val="none" w:sz="0" w:space="0" w:color="auto"/>
                                                                                        <w:right w:val="none" w:sz="0" w:space="0" w:color="auto"/>
                                                                                      </w:divBdr>
                                                                                      <w:divsChild>
                                                                                        <w:div w:id="580526012">
                                                                                          <w:marLeft w:val="0"/>
                                                                                          <w:marRight w:val="0"/>
                                                                                          <w:marTop w:val="0"/>
                                                                                          <w:marBottom w:val="0"/>
                                                                                          <w:divBdr>
                                                                                            <w:top w:val="none" w:sz="0" w:space="0" w:color="auto"/>
                                                                                            <w:left w:val="none" w:sz="0" w:space="0" w:color="auto"/>
                                                                                            <w:bottom w:val="none" w:sz="0" w:space="0" w:color="auto"/>
                                                                                            <w:right w:val="none" w:sz="0" w:space="0" w:color="auto"/>
                                                                                          </w:divBdr>
                                                                                          <w:divsChild>
                                                                                            <w:div w:id="13119329">
                                                                                              <w:marLeft w:val="0"/>
                                                                                              <w:marRight w:val="0"/>
                                                                                              <w:marTop w:val="0"/>
                                                                                              <w:marBottom w:val="0"/>
                                                                                              <w:divBdr>
                                                                                                <w:top w:val="none" w:sz="0" w:space="0" w:color="auto"/>
                                                                                                <w:left w:val="none" w:sz="0" w:space="0" w:color="auto"/>
                                                                                                <w:bottom w:val="none" w:sz="0" w:space="0" w:color="auto"/>
                                                                                                <w:right w:val="none" w:sz="0" w:space="0" w:color="auto"/>
                                                                                              </w:divBdr>
                                                                                            </w:div>
                                                                                          </w:divsChild>
                                                                                        </w:div>
                                                                                        <w:div w:id="981040234">
                                                                                          <w:marLeft w:val="0"/>
                                                                                          <w:marRight w:val="0"/>
                                                                                          <w:marTop w:val="0"/>
                                                                                          <w:marBottom w:val="0"/>
                                                                                          <w:divBdr>
                                                                                            <w:top w:val="none" w:sz="0" w:space="0" w:color="auto"/>
                                                                                            <w:left w:val="none" w:sz="0" w:space="0" w:color="auto"/>
                                                                                            <w:bottom w:val="none" w:sz="0" w:space="0" w:color="auto"/>
                                                                                            <w:right w:val="none" w:sz="0" w:space="0" w:color="auto"/>
                                                                                          </w:divBdr>
                                                                                          <w:divsChild>
                                                                                            <w:div w:id="3959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906575">
      <w:bodyDiv w:val="1"/>
      <w:marLeft w:val="0"/>
      <w:marRight w:val="0"/>
      <w:marTop w:val="0"/>
      <w:marBottom w:val="0"/>
      <w:divBdr>
        <w:top w:val="none" w:sz="0" w:space="0" w:color="auto"/>
        <w:left w:val="none" w:sz="0" w:space="0" w:color="auto"/>
        <w:bottom w:val="none" w:sz="0" w:space="0" w:color="auto"/>
        <w:right w:val="none" w:sz="0" w:space="0" w:color="auto"/>
      </w:divBdr>
      <w:divsChild>
        <w:div w:id="597904501">
          <w:marLeft w:val="0"/>
          <w:marRight w:val="0"/>
          <w:marTop w:val="0"/>
          <w:marBottom w:val="0"/>
          <w:divBdr>
            <w:top w:val="none" w:sz="0" w:space="0" w:color="auto"/>
            <w:left w:val="none" w:sz="0" w:space="0" w:color="auto"/>
            <w:bottom w:val="none" w:sz="0" w:space="0" w:color="auto"/>
            <w:right w:val="none" w:sz="0" w:space="0" w:color="auto"/>
          </w:divBdr>
          <w:divsChild>
            <w:div w:id="586571316">
              <w:marLeft w:val="0"/>
              <w:marRight w:val="0"/>
              <w:marTop w:val="0"/>
              <w:marBottom w:val="0"/>
              <w:divBdr>
                <w:top w:val="none" w:sz="0" w:space="0" w:color="auto"/>
                <w:left w:val="none" w:sz="0" w:space="0" w:color="auto"/>
                <w:bottom w:val="none" w:sz="0" w:space="0" w:color="auto"/>
                <w:right w:val="none" w:sz="0" w:space="0" w:color="auto"/>
              </w:divBdr>
              <w:divsChild>
                <w:div w:id="2028218245">
                  <w:marLeft w:val="0"/>
                  <w:marRight w:val="0"/>
                  <w:marTop w:val="0"/>
                  <w:marBottom w:val="0"/>
                  <w:divBdr>
                    <w:top w:val="none" w:sz="0" w:space="0" w:color="auto"/>
                    <w:left w:val="none" w:sz="0" w:space="0" w:color="auto"/>
                    <w:bottom w:val="none" w:sz="0" w:space="0" w:color="auto"/>
                    <w:right w:val="none" w:sz="0" w:space="0" w:color="auto"/>
                  </w:divBdr>
                  <w:divsChild>
                    <w:div w:id="1240677947">
                      <w:marLeft w:val="0"/>
                      <w:marRight w:val="0"/>
                      <w:marTop w:val="0"/>
                      <w:marBottom w:val="0"/>
                      <w:divBdr>
                        <w:top w:val="none" w:sz="0" w:space="0" w:color="auto"/>
                        <w:left w:val="none" w:sz="0" w:space="0" w:color="auto"/>
                        <w:bottom w:val="none" w:sz="0" w:space="0" w:color="auto"/>
                        <w:right w:val="none" w:sz="0" w:space="0" w:color="auto"/>
                      </w:divBdr>
                      <w:divsChild>
                        <w:div w:id="1462570721">
                          <w:marLeft w:val="0"/>
                          <w:marRight w:val="0"/>
                          <w:marTop w:val="0"/>
                          <w:marBottom w:val="0"/>
                          <w:divBdr>
                            <w:top w:val="none" w:sz="0" w:space="0" w:color="auto"/>
                            <w:left w:val="none" w:sz="0" w:space="0" w:color="auto"/>
                            <w:bottom w:val="none" w:sz="0" w:space="0" w:color="auto"/>
                            <w:right w:val="none" w:sz="0" w:space="0" w:color="auto"/>
                          </w:divBdr>
                          <w:divsChild>
                            <w:div w:id="729617151">
                              <w:marLeft w:val="0"/>
                              <w:marRight w:val="0"/>
                              <w:marTop w:val="0"/>
                              <w:marBottom w:val="0"/>
                              <w:divBdr>
                                <w:top w:val="none" w:sz="0" w:space="0" w:color="auto"/>
                                <w:left w:val="none" w:sz="0" w:space="0" w:color="auto"/>
                                <w:bottom w:val="none" w:sz="0" w:space="0" w:color="auto"/>
                                <w:right w:val="none" w:sz="0" w:space="0" w:color="auto"/>
                              </w:divBdr>
                              <w:divsChild>
                                <w:div w:id="942299797">
                                  <w:marLeft w:val="0"/>
                                  <w:marRight w:val="0"/>
                                  <w:marTop w:val="0"/>
                                  <w:marBottom w:val="0"/>
                                  <w:divBdr>
                                    <w:top w:val="none" w:sz="0" w:space="0" w:color="auto"/>
                                    <w:left w:val="none" w:sz="0" w:space="0" w:color="auto"/>
                                    <w:bottom w:val="none" w:sz="0" w:space="0" w:color="auto"/>
                                    <w:right w:val="none" w:sz="0" w:space="0" w:color="auto"/>
                                  </w:divBdr>
                                  <w:divsChild>
                                    <w:div w:id="621692921">
                                      <w:marLeft w:val="0"/>
                                      <w:marRight w:val="0"/>
                                      <w:marTop w:val="0"/>
                                      <w:marBottom w:val="0"/>
                                      <w:divBdr>
                                        <w:top w:val="none" w:sz="0" w:space="0" w:color="auto"/>
                                        <w:left w:val="none" w:sz="0" w:space="0" w:color="auto"/>
                                        <w:bottom w:val="none" w:sz="0" w:space="0" w:color="auto"/>
                                        <w:right w:val="none" w:sz="0" w:space="0" w:color="auto"/>
                                      </w:divBdr>
                                      <w:divsChild>
                                        <w:div w:id="561330898">
                                          <w:marLeft w:val="0"/>
                                          <w:marRight w:val="0"/>
                                          <w:marTop w:val="0"/>
                                          <w:marBottom w:val="0"/>
                                          <w:divBdr>
                                            <w:top w:val="none" w:sz="0" w:space="0" w:color="auto"/>
                                            <w:left w:val="none" w:sz="0" w:space="0" w:color="auto"/>
                                            <w:bottom w:val="none" w:sz="0" w:space="0" w:color="auto"/>
                                            <w:right w:val="none" w:sz="0" w:space="0" w:color="auto"/>
                                          </w:divBdr>
                                          <w:divsChild>
                                            <w:div w:id="378475882">
                                              <w:marLeft w:val="0"/>
                                              <w:marRight w:val="0"/>
                                              <w:marTop w:val="0"/>
                                              <w:marBottom w:val="0"/>
                                              <w:divBdr>
                                                <w:top w:val="none" w:sz="0" w:space="0" w:color="auto"/>
                                                <w:left w:val="none" w:sz="0" w:space="0" w:color="auto"/>
                                                <w:bottom w:val="none" w:sz="0" w:space="0" w:color="auto"/>
                                                <w:right w:val="none" w:sz="0" w:space="0" w:color="auto"/>
                                              </w:divBdr>
                                              <w:divsChild>
                                                <w:div w:id="1866090144">
                                                  <w:marLeft w:val="0"/>
                                                  <w:marRight w:val="0"/>
                                                  <w:marTop w:val="0"/>
                                                  <w:marBottom w:val="0"/>
                                                  <w:divBdr>
                                                    <w:top w:val="none" w:sz="0" w:space="0" w:color="auto"/>
                                                    <w:left w:val="none" w:sz="0" w:space="0" w:color="auto"/>
                                                    <w:bottom w:val="none" w:sz="0" w:space="0" w:color="auto"/>
                                                    <w:right w:val="none" w:sz="0" w:space="0" w:color="auto"/>
                                                  </w:divBdr>
                                                  <w:divsChild>
                                                    <w:div w:id="819813232">
                                                      <w:marLeft w:val="0"/>
                                                      <w:marRight w:val="0"/>
                                                      <w:marTop w:val="0"/>
                                                      <w:marBottom w:val="0"/>
                                                      <w:divBdr>
                                                        <w:top w:val="none" w:sz="0" w:space="0" w:color="auto"/>
                                                        <w:left w:val="none" w:sz="0" w:space="0" w:color="auto"/>
                                                        <w:bottom w:val="none" w:sz="0" w:space="0" w:color="auto"/>
                                                        <w:right w:val="none" w:sz="0" w:space="0" w:color="auto"/>
                                                      </w:divBdr>
                                                      <w:divsChild>
                                                        <w:div w:id="242422870">
                                                          <w:marLeft w:val="0"/>
                                                          <w:marRight w:val="0"/>
                                                          <w:marTop w:val="0"/>
                                                          <w:marBottom w:val="0"/>
                                                          <w:divBdr>
                                                            <w:top w:val="none" w:sz="0" w:space="0" w:color="auto"/>
                                                            <w:left w:val="none" w:sz="0" w:space="0" w:color="auto"/>
                                                            <w:bottom w:val="none" w:sz="0" w:space="0" w:color="auto"/>
                                                            <w:right w:val="none" w:sz="0" w:space="0" w:color="auto"/>
                                                          </w:divBdr>
                                                        </w:div>
                                                        <w:div w:id="632904348">
                                                          <w:marLeft w:val="0"/>
                                                          <w:marRight w:val="0"/>
                                                          <w:marTop w:val="0"/>
                                                          <w:marBottom w:val="0"/>
                                                          <w:divBdr>
                                                            <w:top w:val="none" w:sz="0" w:space="0" w:color="auto"/>
                                                            <w:left w:val="none" w:sz="0" w:space="0" w:color="auto"/>
                                                            <w:bottom w:val="none" w:sz="0" w:space="0" w:color="auto"/>
                                                            <w:right w:val="none" w:sz="0" w:space="0" w:color="auto"/>
                                                          </w:divBdr>
                                                        </w:div>
                                                        <w:div w:id="21397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1611166">
      <w:bodyDiv w:val="1"/>
      <w:marLeft w:val="0"/>
      <w:marRight w:val="0"/>
      <w:marTop w:val="0"/>
      <w:marBottom w:val="0"/>
      <w:divBdr>
        <w:top w:val="none" w:sz="0" w:space="0" w:color="auto"/>
        <w:left w:val="none" w:sz="0" w:space="0" w:color="auto"/>
        <w:bottom w:val="none" w:sz="0" w:space="0" w:color="auto"/>
        <w:right w:val="none" w:sz="0" w:space="0" w:color="auto"/>
      </w:divBdr>
    </w:div>
    <w:div w:id="1441296372">
      <w:bodyDiv w:val="1"/>
      <w:marLeft w:val="0"/>
      <w:marRight w:val="0"/>
      <w:marTop w:val="0"/>
      <w:marBottom w:val="0"/>
      <w:divBdr>
        <w:top w:val="none" w:sz="0" w:space="0" w:color="auto"/>
        <w:left w:val="none" w:sz="0" w:space="0" w:color="auto"/>
        <w:bottom w:val="none" w:sz="0" w:space="0" w:color="auto"/>
        <w:right w:val="none" w:sz="0" w:space="0" w:color="auto"/>
      </w:divBdr>
    </w:div>
    <w:div w:id="1491629300">
      <w:bodyDiv w:val="1"/>
      <w:marLeft w:val="0"/>
      <w:marRight w:val="0"/>
      <w:marTop w:val="0"/>
      <w:marBottom w:val="0"/>
      <w:divBdr>
        <w:top w:val="none" w:sz="0" w:space="0" w:color="auto"/>
        <w:left w:val="none" w:sz="0" w:space="0" w:color="auto"/>
        <w:bottom w:val="none" w:sz="0" w:space="0" w:color="auto"/>
        <w:right w:val="none" w:sz="0" w:space="0" w:color="auto"/>
      </w:divBdr>
    </w:div>
    <w:div w:id="1550872175">
      <w:bodyDiv w:val="1"/>
      <w:marLeft w:val="0"/>
      <w:marRight w:val="0"/>
      <w:marTop w:val="0"/>
      <w:marBottom w:val="0"/>
      <w:divBdr>
        <w:top w:val="none" w:sz="0" w:space="0" w:color="auto"/>
        <w:left w:val="none" w:sz="0" w:space="0" w:color="auto"/>
        <w:bottom w:val="none" w:sz="0" w:space="0" w:color="auto"/>
        <w:right w:val="none" w:sz="0" w:space="0" w:color="auto"/>
      </w:divBdr>
    </w:div>
    <w:div w:id="1694846495">
      <w:bodyDiv w:val="1"/>
      <w:marLeft w:val="0"/>
      <w:marRight w:val="0"/>
      <w:marTop w:val="0"/>
      <w:marBottom w:val="0"/>
      <w:divBdr>
        <w:top w:val="none" w:sz="0" w:space="0" w:color="auto"/>
        <w:left w:val="none" w:sz="0" w:space="0" w:color="auto"/>
        <w:bottom w:val="none" w:sz="0" w:space="0" w:color="auto"/>
        <w:right w:val="none" w:sz="0" w:space="0" w:color="auto"/>
      </w:divBdr>
    </w:div>
    <w:div w:id="1810975943">
      <w:bodyDiv w:val="1"/>
      <w:marLeft w:val="0"/>
      <w:marRight w:val="0"/>
      <w:marTop w:val="0"/>
      <w:marBottom w:val="0"/>
      <w:divBdr>
        <w:top w:val="none" w:sz="0" w:space="0" w:color="auto"/>
        <w:left w:val="none" w:sz="0" w:space="0" w:color="auto"/>
        <w:bottom w:val="none" w:sz="0" w:space="0" w:color="auto"/>
        <w:right w:val="none" w:sz="0" w:space="0" w:color="auto"/>
      </w:divBdr>
    </w:div>
    <w:div w:id="1833914348">
      <w:bodyDiv w:val="1"/>
      <w:marLeft w:val="0"/>
      <w:marRight w:val="0"/>
      <w:marTop w:val="0"/>
      <w:marBottom w:val="0"/>
      <w:divBdr>
        <w:top w:val="none" w:sz="0" w:space="0" w:color="auto"/>
        <w:left w:val="none" w:sz="0" w:space="0" w:color="auto"/>
        <w:bottom w:val="none" w:sz="0" w:space="0" w:color="auto"/>
        <w:right w:val="none" w:sz="0" w:space="0" w:color="auto"/>
      </w:divBdr>
    </w:div>
    <w:div w:id="2010860884">
      <w:bodyDiv w:val="1"/>
      <w:marLeft w:val="0"/>
      <w:marRight w:val="0"/>
      <w:marTop w:val="0"/>
      <w:marBottom w:val="0"/>
      <w:divBdr>
        <w:top w:val="none" w:sz="0" w:space="0" w:color="auto"/>
        <w:left w:val="none" w:sz="0" w:space="0" w:color="auto"/>
        <w:bottom w:val="none" w:sz="0" w:space="0" w:color="auto"/>
        <w:right w:val="none" w:sz="0" w:space="0" w:color="auto"/>
      </w:divBdr>
    </w:div>
    <w:div w:id="2040007115">
      <w:bodyDiv w:val="1"/>
      <w:marLeft w:val="0"/>
      <w:marRight w:val="0"/>
      <w:marTop w:val="0"/>
      <w:marBottom w:val="0"/>
      <w:divBdr>
        <w:top w:val="none" w:sz="0" w:space="0" w:color="auto"/>
        <w:left w:val="none" w:sz="0" w:space="0" w:color="auto"/>
        <w:bottom w:val="none" w:sz="0" w:space="0" w:color="auto"/>
        <w:right w:val="none" w:sz="0" w:space="0" w:color="auto"/>
      </w:divBdr>
    </w:div>
    <w:div w:id="2096856448">
      <w:bodyDiv w:val="1"/>
      <w:marLeft w:val="0"/>
      <w:marRight w:val="0"/>
      <w:marTop w:val="0"/>
      <w:marBottom w:val="0"/>
      <w:divBdr>
        <w:top w:val="none" w:sz="0" w:space="0" w:color="auto"/>
        <w:left w:val="none" w:sz="0" w:space="0" w:color="auto"/>
        <w:bottom w:val="none" w:sz="0" w:space="0" w:color="auto"/>
        <w:right w:val="none" w:sz="0" w:space="0" w:color="auto"/>
      </w:divBdr>
    </w:div>
    <w:div w:id="2126465393">
      <w:bodyDiv w:val="1"/>
      <w:marLeft w:val="0"/>
      <w:marRight w:val="0"/>
      <w:marTop w:val="0"/>
      <w:marBottom w:val="0"/>
      <w:divBdr>
        <w:top w:val="none" w:sz="0" w:space="0" w:color="auto"/>
        <w:left w:val="none" w:sz="0" w:space="0" w:color="auto"/>
        <w:bottom w:val="none" w:sz="0" w:space="0" w:color="auto"/>
        <w:right w:val="none" w:sz="0" w:space="0" w:color="auto"/>
      </w:divBdr>
    </w:div>
    <w:div w:id="2142917621">
      <w:bodyDiv w:val="1"/>
      <w:marLeft w:val="0"/>
      <w:marRight w:val="0"/>
      <w:marTop w:val="0"/>
      <w:marBottom w:val="0"/>
      <w:divBdr>
        <w:top w:val="none" w:sz="0" w:space="0" w:color="auto"/>
        <w:left w:val="none" w:sz="0" w:space="0" w:color="auto"/>
        <w:bottom w:val="none" w:sz="0" w:space="0" w:color="auto"/>
        <w:right w:val="none" w:sz="0" w:space="0" w:color="auto"/>
      </w:divBdr>
      <w:divsChild>
        <w:div w:id="122625143">
          <w:marLeft w:val="0"/>
          <w:marRight w:val="0"/>
          <w:marTop w:val="0"/>
          <w:marBottom w:val="0"/>
          <w:divBdr>
            <w:top w:val="none" w:sz="0" w:space="0" w:color="auto"/>
            <w:left w:val="none" w:sz="0" w:space="0" w:color="auto"/>
            <w:bottom w:val="none" w:sz="0" w:space="0" w:color="auto"/>
            <w:right w:val="none" w:sz="0" w:space="0" w:color="auto"/>
          </w:divBdr>
          <w:divsChild>
            <w:div w:id="704528535">
              <w:marLeft w:val="0"/>
              <w:marRight w:val="0"/>
              <w:marTop w:val="0"/>
              <w:marBottom w:val="0"/>
              <w:divBdr>
                <w:top w:val="none" w:sz="0" w:space="0" w:color="auto"/>
                <w:left w:val="none" w:sz="0" w:space="0" w:color="auto"/>
                <w:bottom w:val="none" w:sz="0" w:space="0" w:color="auto"/>
                <w:right w:val="none" w:sz="0" w:space="0" w:color="auto"/>
              </w:divBdr>
              <w:divsChild>
                <w:div w:id="450053386">
                  <w:marLeft w:val="0"/>
                  <w:marRight w:val="0"/>
                  <w:marTop w:val="0"/>
                  <w:marBottom w:val="0"/>
                  <w:divBdr>
                    <w:top w:val="none" w:sz="0" w:space="0" w:color="auto"/>
                    <w:left w:val="none" w:sz="0" w:space="0" w:color="auto"/>
                    <w:bottom w:val="none" w:sz="0" w:space="0" w:color="auto"/>
                    <w:right w:val="none" w:sz="0" w:space="0" w:color="auto"/>
                  </w:divBdr>
                  <w:divsChild>
                    <w:div w:id="1883395392">
                      <w:marLeft w:val="0"/>
                      <w:marRight w:val="0"/>
                      <w:marTop w:val="0"/>
                      <w:marBottom w:val="0"/>
                      <w:divBdr>
                        <w:top w:val="none" w:sz="0" w:space="0" w:color="auto"/>
                        <w:left w:val="none" w:sz="0" w:space="0" w:color="auto"/>
                        <w:bottom w:val="none" w:sz="0" w:space="0" w:color="auto"/>
                        <w:right w:val="none" w:sz="0" w:space="0" w:color="auto"/>
                      </w:divBdr>
                      <w:divsChild>
                        <w:div w:id="698045926">
                          <w:marLeft w:val="-15"/>
                          <w:marRight w:val="0"/>
                          <w:marTop w:val="0"/>
                          <w:marBottom w:val="0"/>
                          <w:divBdr>
                            <w:top w:val="none" w:sz="0" w:space="0" w:color="auto"/>
                            <w:left w:val="none" w:sz="0" w:space="0" w:color="auto"/>
                            <w:bottom w:val="none" w:sz="0" w:space="0" w:color="auto"/>
                            <w:right w:val="none" w:sz="0" w:space="0" w:color="auto"/>
                          </w:divBdr>
                          <w:divsChild>
                            <w:div w:id="1183546054">
                              <w:marLeft w:val="0"/>
                              <w:marRight w:val="0"/>
                              <w:marTop w:val="0"/>
                              <w:marBottom w:val="0"/>
                              <w:divBdr>
                                <w:top w:val="none" w:sz="0" w:space="0" w:color="auto"/>
                                <w:left w:val="none" w:sz="0" w:space="0" w:color="auto"/>
                                <w:bottom w:val="none" w:sz="0" w:space="0" w:color="auto"/>
                                <w:right w:val="none" w:sz="0" w:space="0" w:color="auto"/>
                              </w:divBdr>
                              <w:divsChild>
                                <w:div w:id="191116824">
                                  <w:marLeft w:val="0"/>
                                  <w:marRight w:val="-15"/>
                                  <w:marTop w:val="0"/>
                                  <w:marBottom w:val="0"/>
                                  <w:divBdr>
                                    <w:top w:val="none" w:sz="0" w:space="0" w:color="auto"/>
                                    <w:left w:val="none" w:sz="0" w:space="0" w:color="auto"/>
                                    <w:bottom w:val="none" w:sz="0" w:space="0" w:color="auto"/>
                                    <w:right w:val="none" w:sz="0" w:space="0" w:color="auto"/>
                                  </w:divBdr>
                                  <w:divsChild>
                                    <w:div w:id="1127118119">
                                      <w:marLeft w:val="0"/>
                                      <w:marRight w:val="0"/>
                                      <w:marTop w:val="0"/>
                                      <w:marBottom w:val="0"/>
                                      <w:divBdr>
                                        <w:top w:val="none" w:sz="0" w:space="0" w:color="auto"/>
                                        <w:left w:val="none" w:sz="0" w:space="0" w:color="auto"/>
                                        <w:bottom w:val="none" w:sz="0" w:space="0" w:color="auto"/>
                                        <w:right w:val="none" w:sz="0" w:space="0" w:color="auto"/>
                                      </w:divBdr>
                                      <w:divsChild>
                                        <w:div w:id="694429767">
                                          <w:marLeft w:val="0"/>
                                          <w:marRight w:val="0"/>
                                          <w:marTop w:val="0"/>
                                          <w:marBottom w:val="0"/>
                                          <w:divBdr>
                                            <w:top w:val="none" w:sz="0" w:space="0" w:color="auto"/>
                                            <w:left w:val="none" w:sz="0" w:space="0" w:color="auto"/>
                                            <w:bottom w:val="none" w:sz="0" w:space="0" w:color="auto"/>
                                            <w:right w:val="none" w:sz="0" w:space="0" w:color="auto"/>
                                          </w:divBdr>
                                          <w:divsChild>
                                            <w:div w:id="782578619">
                                              <w:marLeft w:val="0"/>
                                              <w:marRight w:val="0"/>
                                              <w:marTop w:val="0"/>
                                              <w:marBottom w:val="0"/>
                                              <w:divBdr>
                                                <w:top w:val="none" w:sz="0" w:space="0" w:color="auto"/>
                                                <w:left w:val="none" w:sz="0" w:space="0" w:color="auto"/>
                                                <w:bottom w:val="none" w:sz="0" w:space="0" w:color="auto"/>
                                                <w:right w:val="none" w:sz="0" w:space="0" w:color="auto"/>
                                              </w:divBdr>
                                              <w:divsChild>
                                                <w:div w:id="564612546">
                                                  <w:marLeft w:val="0"/>
                                                  <w:marRight w:val="0"/>
                                                  <w:marTop w:val="0"/>
                                                  <w:marBottom w:val="0"/>
                                                  <w:divBdr>
                                                    <w:top w:val="none" w:sz="0" w:space="0" w:color="auto"/>
                                                    <w:left w:val="none" w:sz="0" w:space="0" w:color="auto"/>
                                                    <w:bottom w:val="none" w:sz="0" w:space="0" w:color="auto"/>
                                                    <w:right w:val="none" w:sz="0" w:space="0" w:color="auto"/>
                                                  </w:divBdr>
                                                  <w:divsChild>
                                                    <w:div w:id="1133140529">
                                                      <w:marLeft w:val="0"/>
                                                      <w:marRight w:val="0"/>
                                                      <w:marTop w:val="0"/>
                                                      <w:marBottom w:val="0"/>
                                                      <w:divBdr>
                                                        <w:top w:val="none" w:sz="0" w:space="0" w:color="auto"/>
                                                        <w:left w:val="none" w:sz="0" w:space="0" w:color="auto"/>
                                                        <w:bottom w:val="none" w:sz="0" w:space="0" w:color="auto"/>
                                                        <w:right w:val="none" w:sz="0" w:space="0" w:color="auto"/>
                                                      </w:divBdr>
                                                      <w:divsChild>
                                                        <w:div w:id="11881409">
                                                          <w:marLeft w:val="0"/>
                                                          <w:marRight w:val="0"/>
                                                          <w:marTop w:val="0"/>
                                                          <w:marBottom w:val="0"/>
                                                          <w:divBdr>
                                                            <w:top w:val="none" w:sz="0" w:space="0" w:color="auto"/>
                                                            <w:left w:val="none" w:sz="0" w:space="0" w:color="auto"/>
                                                            <w:bottom w:val="none" w:sz="0" w:space="0" w:color="auto"/>
                                                            <w:right w:val="none" w:sz="0" w:space="0" w:color="auto"/>
                                                          </w:divBdr>
                                                          <w:divsChild>
                                                            <w:div w:id="680738443">
                                                              <w:marLeft w:val="0"/>
                                                              <w:marRight w:val="0"/>
                                                              <w:marTop w:val="0"/>
                                                              <w:marBottom w:val="0"/>
                                                              <w:divBdr>
                                                                <w:top w:val="none" w:sz="0" w:space="0" w:color="auto"/>
                                                                <w:left w:val="none" w:sz="0" w:space="0" w:color="auto"/>
                                                                <w:bottom w:val="none" w:sz="0" w:space="0" w:color="auto"/>
                                                                <w:right w:val="none" w:sz="0" w:space="0" w:color="auto"/>
                                                              </w:divBdr>
                                                              <w:divsChild>
                                                                <w:div w:id="385103490">
                                                                  <w:marLeft w:val="0"/>
                                                                  <w:marRight w:val="0"/>
                                                                  <w:marTop w:val="0"/>
                                                                  <w:marBottom w:val="0"/>
                                                                  <w:divBdr>
                                                                    <w:top w:val="none" w:sz="0" w:space="0" w:color="auto"/>
                                                                    <w:left w:val="none" w:sz="0" w:space="0" w:color="auto"/>
                                                                    <w:bottom w:val="none" w:sz="0" w:space="0" w:color="auto"/>
                                                                    <w:right w:val="none" w:sz="0" w:space="0" w:color="auto"/>
                                                                  </w:divBdr>
                                                                  <w:divsChild>
                                                                    <w:div w:id="579146564">
                                                                      <w:marLeft w:val="0"/>
                                                                      <w:marRight w:val="0"/>
                                                                      <w:marTop w:val="0"/>
                                                                      <w:marBottom w:val="0"/>
                                                                      <w:divBdr>
                                                                        <w:top w:val="none" w:sz="0" w:space="0" w:color="auto"/>
                                                                        <w:left w:val="none" w:sz="0" w:space="0" w:color="auto"/>
                                                                        <w:bottom w:val="none" w:sz="0" w:space="0" w:color="auto"/>
                                                                        <w:right w:val="none" w:sz="0" w:space="0" w:color="auto"/>
                                                                      </w:divBdr>
                                                                      <w:divsChild>
                                                                        <w:div w:id="1988321448">
                                                                          <w:marLeft w:val="0"/>
                                                                          <w:marRight w:val="0"/>
                                                                          <w:marTop w:val="0"/>
                                                                          <w:marBottom w:val="0"/>
                                                                          <w:divBdr>
                                                                            <w:top w:val="none" w:sz="0" w:space="0" w:color="auto"/>
                                                                            <w:left w:val="none" w:sz="0" w:space="0" w:color="auto"/>
                                                                            <w:bottom w:val="none" w:sz="0" w:space="0" w:color="auto"/>
                                                                            <w:right w:val="none" w:sz="0" w:space="0" w:color="auto"/>
                                                                          </w:divBdr>
                                                                          <w:divsChild>
                                                                            <w:div w:id="941188293">
                                                                              <w:marLeft w:val="0"/>
                                                                              <w:marRight w:val="0"/>
                                                                              <w:marTop w:val="0"/>
                                                                              <w:marBottom w:val="0"/>
                                                                              <w:divBdr>
                                                                                <w:top w:val="none" w:sz="0" w:space="0" w:color="auto"/>
                                                                                <w:left w:val="none" w:sz="0" w:space="0" w:color="auto"/>
                                                                                <w:bottom w:val="none" w:sz="0" w:space="0" w:color="auto"/>
                                                                                <w:right w:val="none" w:sz="0" w:space="0" w:color="auto"/>
                                                                              </w:divBdr>
                                                                              <w:divsChild>
                                                                                <w:div w:id="327094584">
                                                                                  <w:marLeft w:val="0"/>
                                                                                  <w:marRight w:val="0"/>
                                                                                  <w:marTop w:val="0"/>
                                                                                  <w:marBottom w:val="0"/>
                                                                                  <w:divBdr>
                                                                                    <w:top w:val="none" w:sz="0" w:space="0" w:color="auto"/>
                                                                                    <w:left w:val="none" w:sz="0" w:space="0" w:color="auto"/>
                                                                                    <w:bottom w:val="none" w:sz="0" w:space="0" w:color="auto"/>
                                                                                    <w:right w:val="none" w:sz="0" w:space="0" w:color="auto"/>
                                                                                  </w:divBdr>
                                                                                  <w:divsChild>
                                                                                    <w:div w:id="869143327">
                                                                                      <w:marLeft w:val="0"/>
                                                                                      <w:marRight w:val="0"/>
                                                                                      <w:marTop w:val="0"/>
                                                                                      <w:marBottom w:val="0"/>
                                                                                      <w:divBdr>
                                                                                        <w:top w:val="none" w:sz="0" w:space="0" w:color="auto"/>
                                                                                        <w:left w:val="none" w:sz="0" w:space="0" w:color="auto"/>
                                                                                        <w:bottom w:val="none" w:sz="0" w:space="0" w:color="auto"/>
                                                                                        <w:right w:val="none" w:sz="0" w:space="0" w:color="auto"/>
                                                                                      </w:divBdr>
                                                                                      <w:divsChild>
                                                                                        <w:div w:id="969868156">
                                                                                          <w:marLeft w:val="0"/>
                                                                                          <w:marRight w:val="0"/>
                                                                                          <w:marTop w:val="0"/>
                                                                                          <w:marBottom w:val="0"/>
                                                                                          <w:divBdr>
                                                                                            <w:top w:val="none" w:sz="0" w:space="0" w:color="auto"/>
                                                                                            <w:left w:val="none" w:sz="0" w:space="0" w:color="auto"/>
                                                                                            <w:bottom w:val="none" w:sz="0" w:space="0" w:color="auto"/>
                                                                                            <w:right w:val="none" w:sz="0" w:space="0" w:color="auto"/>
                                                                                          </w:divBdr>
                                                                                        </w:div>
                                                                                        <w:div w:id="1033266405">
                                                                                          <w:marLeft w:val="0"/>
                                                                                          <w:marRight w:val="0"/>
                                                                                          <w:marTop w:val="0"/>
                                                                                          <w:marBottom w:val="0"/>
                                                                                          <w:divBdr>
                                                                                            <w:top w:val="none" w:sz="0" w:space="0" w:color="auto"/>
                                                                                            <w:left w:val="none" w:sz="0" w:space="0" w:color="auto"/>
                                                                                            <w:bottom w:val="none" w:sz="0" w:space="0" w:color="auto"/>
                                                                                            <w:right w:val="none" w:sz="0" w:space="0" w:color="auto"/>
                                                                                          </w:divBdr>
                                                                                          <w:divsChild>
                                                                                            <w:div w:id="2027293298">
                                                                                              <w:marLeft w:val="0"/>
                                                                                              <w:marRight w:val="0"/>
                                                                                              <w:marTop w:val="0"/>
                                                                                              <w:marBottom w:val="0"/>
                                                                                              <w:divBdr>
                                                                                                <w:top w:val="none" w:sz="0" w:space="0" w:color="auto"/>
                                                                                                <w:left w:val="none" w:sz="0" w:space="0" w:color="auto"/>
                                                                                                <w:bottom w:val="none" w:sz="0" w:space="0" w:color="auto"/>
                                                                                                <w:right w:val="none" w:sz="0" w:space="0" w:color="auto"/>
                                                                                              </w:divBdr>
                                                                                              <w:divsChild>
                                                                                                <w:div w:id="930742505">
                                                                                                  <w:marLeft w:val="0"/>
                                                                                                  <w:marRight w:val="0"/>
                                                                                                  <w:marTop w:val="0"/>
                                                                                                  <w:marBottom w:val="0"/>
                                                                                                  <w:divBdr>
                                                                                                    <w:top w:val="none" w:sz="0" w:space="0" w:color="auto"/>
                                                                                                    <w:left w:val="none" w:sz="0" w:space="0" w:color="auto"/>
                                                                                                    <w:bottom w:val="none" w:sz="0" w:space="0" w:color="auto"/>
                                                                                                    <w:right w:val="none" w:sz="0" w:space="0" w:color="auto"/>
                                                                                                  </w:divBdr>
                                                                                                  <w:divsChild>
                                                                                                    <w:div w:id="1816217960">
                                                                                                      <w:marLeft w:val="0"/>
                                                                                                      <w:marRight w:val="0"/>
                                                                                                      <w:marTop w:val="0"/>
                                                                                                      <w:marBottom w:val="0"/>
                                                                                                      <w:divBdr>
                                                                                                        <w:top w:val="none" w:sz="0" w:space="0" w:color="auto"/>
                                                                                                        <w:left w:val="none" w:sz="0" w:space="0" w:color="auto"/>
                                                                                                        <w:bottom w:val="none" w:sz="0" w:space="0" w:color="auto"/>
                                                                                                        <w:right w:val="none" w:sz="0" w:space="0" w:color="auto"/>
                                                                                                      </w:divBdr>
                                                                                                      <w:divsChild>
                                                                                                        <w:div w:id="570772198">
                                                                                                          <w:marLeft w:val="0"/>
                                                                                                          <w:marRight w:val="0"/>
                                                                                                          <w:marTop w:val="0"/>
                                                                                                          <w:marBottom w:val="0"/>
                                                                                                          <w:divBdr>
                                                                                                            <w:top w:val="none" w:sz="0" w:space="0" w:color="auto"/>
                                                                                                            <w:left w:val="none" w:sz="0" w:space="0" w:color="auto"/>
                                                                                                            <w:bottom w:val="none" w:sz="0" w:space="0" w:color="auto"/>
                                                                                                            <w:right w:val="none" w:sz="0" w:space="0" w:color="auto"/>
                                                                                                          </w:divBdr>
                                                                                                          <w:divsChild>
                                                                                                            <w:div w:id="929971452">
                                                                                                              <w:marLeft w:val="0"/>
                                                                                                              <w:marRight w:val="0"/>
                                                                                                              <w:marTop w:val="0"/>
                                                                                                              <w:marBottom w:val="0"/>
                                                                                                              <w:divBdr>
                                                                                                                <w:top w:val="none" w:sz="0" w:space="0" w:color="auto"/>
                                                                                                                <w:left w:val="none" w:sz="0" w:space="0" w:color="auto"/>
                                                                                                                <w:bottom w:val="none" w:sz="0" w:space="0" w:color="auto"/>
                                                                                                                <w:right w:val="none" w:sz="0" w:space="0" w:color="auto"/>
                                                                                                              </w:divBdr>
                                                                                                              <w:divsChild>
                                                                                                                <w:div w:id="9375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317941">
                                                                                  <w:marLeft w:val="0"/>
                                                                                  <w:marRight w:val="0"/>
                                                                                  <w:marTop w:val="0"/>
                                                                                  <w:marBottom w:val="0"/>
                                                                                  <w:divBdr>
                                                                                    <w:top w:val="none" w:sz="0" w:space="0" w:color="auto"/>
                                                                                    <w:left w:val="none" w:sz="0" w:space="0" w:color="auto"/>
                                                                                    <w:bottom w:val="none" w:sz="0" w:space="0" w:color="auto"/>
                                                                                    <w:right w:val="none" w:sz="0" w:space="0" w:color="auto"/>
                                                                                  </w:divBdr>
                                                                                  <w:divsChild>
                                                                                    <w:div w:id="362561068">
                                                                                      <w:marLeft w:val="0"/>
                                                                                      <w:marRight w:val="0"/>
                                                                                      <w:marTop w:val="0"/>
                                                                                      <w:marBottom w:val="0"/>
                                                                                      <w:divBdr>
                                                                                        <w:top w:val="none" w:sz="0" w:space="0" w:color="auto"/>
                                                                                        <w:left w:val="none" w:sz="0" w:space="0" w:color="auto"/>
                                                                                        <w:bottom w:val="none" w:sz="0" w:space="0" w:color="auto"/>
                                                                                        <w:right w:val="none" w:sz="0" w:space="0" w:color="auto"/>
                                                                                      </w:divBdr>
                                                                                      <w:divsChild>
                                                                                        <w:div w:id="663169182">
                                                                                          <w:marLeft w:val="0"/>
                                                                                          <w:marRight w:val="0"/>
                                                                                          <w:marTop w:val="0"/>
                                                                                          <w:marBottom w:val="0"/>
                                                                                          <w:divBdr>
                                                                                            <w:top w:val="none" w:sz="0" w:space="0" w:color="auto"/>
                                                                                            <w:left w:val="none" w:sz="0" w:space="0" w:color="auto"/>
                                                                                            <w:bottom w:val="none" w:sz="0" w:space="0" w:color="auto"/>
                                                                                            <w:right w:val="none" w:sz="0" w:space="0" w:color="auto"/>
                                                                                          </w:divBdr>
                                                                                          <w:divsChild>
                                                                                            <w:div w:id="758141442">
                                                                                              <w:marLeft w:val="0"/>
                                                                                              <w:marRight w:val="0"/>
                                                                                              <w:marTop w:val="0"/>
                                                                                              <w:marBottom w:val="0"/>
                                                                                              <w:divBdr>
                                                                                                <w:top w:val="none" w:sz="0" w:space="0" w:color="auto"/>
                                                                                                <w:left w:val="none" w:sz="0" w:space="0" w:color="auto"/>
                                                                                                <w:bottom w:val="none" w:sz="0" w:space="0" w:color="auto"/>
                                                                                                <w:right w:val="none" w:sz="0" w:space="0" w:color="auto"/>
                                                                                              </w:divBdr>
                                                                                            </w:div>
                                                                                          </w:divsChild>
                                                                                        </w:div>
                                                                                        <w:div w:id="1693141418">
                                                                                          <w:marLeft w:val="0"/>
                                                                                          <w:marRight w:val="0"/>
                                                                                          <w:marTop w:val="0"/>
                                                                                          <w:marBottom w:val="0"/>
                                                                                          <w:divBdr>
                                                                                            <w:top w:val="none" w:sz="0" w:space="0" w:color="auto"/>
                                                                                            <w:left w:val="none" w:sz="0" w:space="0" w:color="auto"/>
                                                                                            <w:bottom w:val="none" w:sz="0" w:space="0" w:color="auto"/>
                                                                                            <w:right w:val="none" w:sz="0" w:space="0" w:color="auto"/>
                                                                                          </w:divBdr>
                                                                                          <w:divsChild>
                                                                                            <w:div w:id="13627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3912">
                                                                                  <w:marLeft w:val="0"/>
                                                                                  <w:marRight w:val="0"/>
                                                                                  <w:marTop w:val="0"/>
                                                                                  <w:marBottom w:val="0"/>
                                                                                  <w:divBdr>
                                                                                    <w:top w:val="none" w:sz="0" w:space="0" w:color="auto"/>
                                                                                    <w:left w:val="none" w:sz="0" w:space="0" w:color="auto"/>
                                                                                    <w:bottom w:val="none" w:sz="0" w:space="0" w:color="auto"/>
                                                                                    <w:right w:val="none" w:sz="0" w:space="0" w:color="auto"/>
                                                                                  </w:divBdr>
                                                                                  <w:divsChild>
                                                                                    <w:div w:id="42943961">
                                                                                      <w:marLeft w:val="0"/>
                                                                                      <w:marRight w:val="0"/>
                                                                                      <w:marTop w:val="0"/>
                                                                                      <w:marBottom w:val="0"/>
                                                                                      <w:divBdr>
                                                                                        <w:top w:val="none" w:sz="0" w:space="0" w:color="auto"/>
                                                                                        <w:left w:val="none" w:sz="0" w:space="0" w:color="auto"/>
                                                                                        <w:bottom w:val="none" w:sz="0" w:space="0" w:color="auto"/>
                                                                                        <w:right w:val="none" w:sz="0" w:space="0" w:color="auto"/>
                                                                                      </w:divBdr>
                                                                                      <w:divsChild>
                                                                                        <w:div w:id="1153371397">
                                                                                          <w:marLeft w:val="0"/>
                                                                                          <w:marRight w:val="0"/>
                                                                                          <w:marTop w:val="0"/>
                                                                                          <w:marBottom w:val="0"/>
                                                                                          <w:divBdr>
                                                                                            <w:top w:val="none" w:sz="0" w:space="0" w:color="auto"/>
                                                                                            <w:left w:val="none" w:sz="0" w:space="0" w:color="auto"/>
                                                                                            <w:bottom w:val="none" w:sz="0" w:space="0" w:color="auto"/>
                                                                                            <w:right w:val="none" w:sz="0" w:space="0" w:color="auto"/>
                                                                                          </w:divBdr>
                                                                                          <w:divsChild>
                                                                                            <w:div w:id="17471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atascience.oneoffcoder.com/psuedo-r-squared-logistic-regression.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ed.ms.gov.br/wp-content/uploads/2022/03/LEI-No-14.284-DE-29-DE-DEZEMBRO-DE-2021-PROGRAMA-AUXILIO-BRASIL.pdf" TargetMode="External"/><Relationship Id="rId17" Type="http://schemas.openxmlformats.org/officeDocument/2006/relationships/hyperlink" Target="https://sistemaocemg.coop.br/wp-content/uploads/2021/06/sistemaocemg.coop.br-publicacoes-final-anuario-de-informacoes-economicas-e-sociais-do-cooperativismo-mineiro-202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ados.mda.gov.br/dataset/dap-de-pessoa-juridica-3-2/resource/ef0ab4fd-b352-4565-b700-6e78a597e33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gov.br/en/web/dou/-/resolucao-n-6-de-8-de-maio-de-2020-25630997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dra.ibge.gov.br" TargetMode="External"/><Relationship Id="rId23" Type="http://schemas.openxmlformats.org/officeDocument/2006/relationships/footer" Target="footer3.xml"/><Relationship Id="rId10" Type="http://schemas.openxmlformats.org/officeDocument/2006/relationships/hyperlink" Target="https://www.planalto.gov.br/ccivil_03/_ato2007-2010/2009/lei/l11947.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lanalto.gov.br/ccivil_03/_Ato2004-2006/2006/Lei/L11326.htm" TargetMode="External"/><Relationship Id="rId14" Type="http://schemas.openxmlformats.org/officeDocument/2006/relationships/hyperlink" Target="http://www.fnde.gov.br/programas/alimentacao-escolar/alimentacaoescolar-historico"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36CAB-C17D-4C87-9177-523037278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9486</Words>
  <Characters>51230</Characters>
  <Application>Microsoft Office Word</Application>
  <DocSecurity>0</DocSecurity>
  <Lines>426</Lines>
  <Paragraphs>121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2023-11-25T22:25:00Z</dcterms:created>
  <dcterms:modified xsi:type="dcterms:W3CDTF">2023-11-26T02:50:00Z</dcterms:modified>
</cp:coreProperties>
</file>